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EC" w:rsidRPr="00667EDE" w:rsidRDefault="00184AEC" w:rsidP="00184AEC">
      <w:pPr>
        <w:rPr>
          <w:b/>
          <w:bCs/>
        </w:rPr>
      </w:pPr>
    </w:p>
    <w:p w:rsidR="00184AEC" w:rsidRPr="00667EDE" w:rsidRDefault="00184AEC" w:rsidP="00184AEC">
      <w:pPr>
        <w:pStyle w:val="Heading2"/>
        <w:spacing w:after="240"/>
        <w:rPr>
          <w:rStyle w:val="SubtleReference1"/>
          <w:color w:val="auto"/>
          <w:sz w:val="24"/>
          <w:szCs w:val="24"/>
        </w:rPr>
      </w:pPr>
      <w:bookmarkStart w:id="0" w:name="_Toc182222082"/>
      <w:r w:rsidRPr="00667EDE">
        <w:rPr>
          <w:rStyle w:val="SubtleReference1"/>
          <w:b/>
          <w:bCs/>
          <w:color w:val="auto"/>
          <w:sz w:val="24"/>
          <w:szCs w:val="24"/>
        </w:rPr>
        <w:t>Suppl 3.</w:t>
      </w:r>
      <w:r w:rsidRPr="00667EDE">
        <w:rPr>
          <w:rStyle w:val="SubtleReference1"/>
          <w:color w:val="auto"/>
          <w:sz w:val="24"/>
          <w:szCs w:val="24"/>
        </w:rPr>
        <w:t xml:space="preserve"> Criteria for screening full texts</w:t>
      </w:r>
      <w:bookmarkEnd w:id="0"/>
      <w:r w:rsidRPr="00667EDE">
        <w:rPr>
          <w:rStyle w:val="SubtleReference1"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696"/>
        <w:gridCol w:w="4111"/>
        <w:gridCol w:w="3209"/>
      </w:tblGrid>
      <w:tr w:rsidR="00184AEC" w:rsidRPr="00667EDE" w:rsidTr="00841DED">
        <w:tc>
          <w:tcPr>
            <w:tcW w:w="1696" w:type="dxa"/>
          </w:tcPr>
          <w:p w:rsidR="00184AEC" w:rsidRPr="00667EDE" w:rsidRDefault="00184AEC" w:rsidP="00841D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84AEC" w:rsidRPr="00667EDE" w:rsidRDefault="00184AEC" w:rsidP="00841DED">
            <w:pPr>
              <w:rPr>
                <w:b/>
                <w:bCs/>
              </w:rPr>
            </w:pPr>
            <w:r w:rsidRPr="00667EDE">
              <w:rPr>
                <w:b/>
                <w:bCs/>
              </w:rPr>
              <w:t>Include</w:t>
            </w:r>
          </w:p>
        </w:tc>
        <w:tc>
          <w:tcPr>
            <w:tcW w:w="3209" w:type="dxa"/>
          </w:tcPr>
          <w:p w:rsidR="00184AEC" w:rsidRPr="00667EDE" w:rsidRDefault="00184AEC" w:rsidP="00841DED">
            <w:pPr>
              <w:rPr>
                <w:b/>
                <w:bCs/>
              </w:rPr>
            </w:pPr>
            <w:r w:rsidRPr="00667EDE">
              <w:rPr>
                <w:b/>
                <w:bCs/>
              </w:rPr>
              <w:t>Exclude</w:t>
            </w:r>
          </w:p>
        </w:tc>
      </w:tr>
      <w:tr w:rsidR="00184AEC" w:rsidRPr="00667EDE" w:rsidTr="00841DED">
        <w:tc>
          <w:tcPr>
            <w:tcW w:w="1696" w:type="dxa"/>
          </w:tcPr>
          <w:p w:rsidR="00184AEC" w:rsidRPr="00667EDE" w:rsidRDefault="00184AEC" w:rsidP="00841DED">
            <w:pPr>
              <w:rPr>
                <w:b/>
                <w:bCs/>
              </w:rPr>
            </w:pPr>
            <w:r w:rsidRPr="00667EDE">
              <w:rPr>
                <w:b/>
                <w:bCs/>
              </w:rPr>
              <w:t>Study design</w:t>
            </w:r>
          </w:p>
        </w:tc>
        <w:tc>
          <w:tcPr>
            <w:tcW w:w="4111" w:type="dxa"/>
          </w:tcPr>
          <w:p w:rsidR="00184AEC" w:rsidRPr="00667EDE" w:rsidRDefault="00184AEC" w:rsidP="00841DED">
            <w:r w:rsidRPr="00667EDE">
              <w:t>Observational studies</w:t>
            </w:r>
          </w:p>
          <w:p w:rsidR="00184AEC" w:rsidRPr="00667EDE" w:rsidRDefault="00184AEC" w:rsidP="00841DED">
            <w:r w:rsidRPr="00667EDE">
              <w:t>Systematic review</w:t>
            </w:r>
          </w:p>
          <w:p w:rsidR="00184AEC" w:rsidRPr="00667EDE" w:rsidRDefault="00184AEC" w:rsidP="00841DED">
            <w:r w:rsidRPr="00667EDE">
              <w:t>Meta-analyses</w:t>
            </w:r>
          </w:p>
          <w:p w:rsidR="00184AEC" w:rsidRPr="00667EDE" w:rsidRDefault="00184AEC" w:rsidP="00841DED">
            <w:pPr>
              <w:rPr>
                <w:vertAlign w:val="superscript"/>
              </w:rPr>
            </w:pPr>
            <w:r w:rsidRPr="00667EDE">
              <w:t>Mixed method studies</w:t>
            </w:r>
            <w:r w:rsidRPr="00667EDE">
              <w:rPr>
                <w:vertAlign w:val="superscript"/>
              </w:rPr>
              <w:t>1</w:t>
            </w:r>
          </w:p>
        </w:tc>
        <w:tc>
          <w:tcPr>
            <w:tcW w:w="3209" w:type="dxa"/>
          </w:tcPr>
          <w:p w:rsidR="00184AEC" w:rsidRPr="00667EDE" w:rsidRDefault="00184AEC" w:rsidP="00841DED">
            <w:r w:rsidRPr="00667EDE">
              <w:t>Clinical trials</w:t>
            </w:r>
          </w:p>
          <w:p w:rsidR="00184AEC" w:rsidRPr="00667EDE" w:rsidRDefault="00184AEC" w:rsidP="00841DED">
            <w:r w:rsidRPr="00667EDE">
              <w:t>Case reports</w:t>
            </w:r>
          </w:p>
          <w:p w:rsidR="00184AEC" w:rsidRPr="00667EDE" w:rsidRDefault="00184AEC" w:rsidP="00841DED">
            <w:r w:rsidRPr="00667EDE">
              <w:t>Case series (&lt;10 individuals)</w:t>
            </w:r>
          </w:p>
          <w:p w:rsidR="00184AEC" w:rsidRPr="00667EDE" w:rsidRDefault="00184AEC" w:rsidP="00841DED">
            <w:pPr>
              <w:rPr>
                <w:vertAlign w:val="superscript"/>
              </w:rPr>
            </w:pPr>
            <w:r w:rsidRPr="00667EDE">
              <w:t>Qualitative studies</w:t>
            </w:r>
          </w:p>
        </w:tc>
      </w:tr>
      <w:tr w:rsidR="00184AEC" w:rsidRPr="00667EDE" w:rsidTr="00841DED">
        <w:tc>
          <w:tcPr>
            <w:tcW w:w="1696" w:type="dxa"/>
          </w:tcPr>
          <w:p w:rsidR="00184AEC" w:rsidRPr="00667EDE" w:rsidRDefault="00184AEC" w:rsidP="00841DED">
            <w:pPr>
              <w:rPr>
                <w:b/>
                <w:bCs/>
              </w:rPr>
            </w:pPr>
            <w:r w:rsidRPr="00667EDE">
              <w:rPr>
                <w:b/>
                <w:bCs/>
              </w:rPr>
              <w:t>Population</w:t>
            </w:r>
          </w:p>
        </w:tc>
        <w:tc>
          <w:tcPr>
            <w:tcW w:w="4111" w:type="dxa"/>
          </w:tcPr>
          <w:p w:rsidR="00184AEC" w:rsidRPr="00667EDE" w:rsidRDefault="00184AEC" w:rsidP="00841DED">
            <w:r w:rsidRPr="00667EDE">
              <w:t>Adult humans &gt;17 years of age</w:t>
            </w:r>
          </w:p>
          <w:p w:rsidR="00184AEC" w:rsidRPr="00667EDE" w:rsidRDefault="00184AEC" w:rsidP="00841DED">
            <w:r w:rsidRPr="00667EDE">
              <w:t>Clinical diagnosis of type 1 MI (or not specified)</w:t>
            </w:r>
          </w:p>
        </w:tc>
        <w:tc>
          <w:tcPr>
            <w:tcW w:w="3209" w:type="dxa"/>
          </w:tcPr>
          <w:p w:rsidR="00184AEC" w:rsidRPr="00667EDE" w:rsidRDefault="00184AEC" w:rsidP="00841DED">
            <w:r w:rsidRPr="00667EDE">
              <w:t>Children &lt;18 years of age</w:t>
            </w:r>
          </w:p>
          <w:p w:rsidR="00184AEC" w:rsidRPr="00667EDE" w:rsidRDefault="00184AEC" w:rsidP="00841DED">
            <w:r w:rsidRPr="00667EDE">
              <w:t>Animals (of any age)</w:t>
            </w:r>
          </w:p>
        </w:tc>
      </w:tr>
      <w:tr w:rsidR="00184AEC" w:rsidRPr="00667EDE" w:rsidTr="00841DED">
        <w:tc>
          <w:tcPr>
            <w:tcW w:w="1696" w:type="dxa"/>
          </w:tcPr>
          <w:p w:rsidR="00184AEC" w:rsidRPr="00667EDE" w:rsidRDefault="00184AEC" w:rsidP="00841DED">
            <w:pPr>
              <w:rPr>
                <w:b/>
                <w:bCs/>
              </w:rPr>
            </w:pPr>
            <w:r w:rsidRPr="00667EDE">
              <w:rPr>
                <w:b/>
                <w:bCs/>
              </w:rPr>
              <w:t>Exposure</w:t>
            </w:r>
          </w:p>
        </w:tc>
        <w:tc>
          <w:tcPr>
            <w:tcW w:w="4111" w:type="dxa"/>
          </w:tcPr>
          <w:p w:rsidR="00184AEC" w:rsidRPr="00667EDE" w:rsidRDefault="00184AEC" w:rsidP="00841DED">
            <w:r w:rsidRPr="00667EDE">
              <w:t>CKD (see definitions)</w:t>
            </w:r>
          </w:p>
          <w:p w:rsidR="00184AEC" w:rsidRPr="00667EDE" w:rsidRDefault="00184AEC" w:rsidP="00841DED">
            <w:r w:rsidRPr="00667EDE">
              <w:t>Comparator population without CKD</w:t>
            </w:r>
          </w:p>
        </w:tc>
        <w:tc>
          <w:tcPr>
            <w:tcW w:w="3209" w:type="dxa"/>
          </w:tcPr>
          <w:p w:rsidR="00184AEC" w:rsidRPr="00667EDE" w:rsidRDefault="00184AEC" w:rsidP="00841DED">
            <w:r w:rsidRPr="00667EDE">
              <w:t>Acute CKDdney injury (only)</w:t>
            </w:r>
          </w:p>
          <w:p w:rsidR="00184AEC" w:rsidRPr="00667EDE" w:rsidRDefault="00184AEC" w:rsidP="00841DED">
            <w:r w:rsidRPr="00667EDE">
              <w:t>No comparator non-CKD population</w:t>
            </w:r>
          </w:p>
        </w:tc>
      </w:tr>
      <w:tr w:rsidR="00184AEC" w:rsidRPr="00667EDE" w:rsidTr="00841DED">
        <w:tc>
          <w:tcPr>
            <w:tcW w:w="1696" w:type="dxa"/>
          </w:tcPr>
          <w:p w:rsidR="00184AEC" w:rsidRPr="00667EDE" w:rsidRDefault="00184AEC" w:rsidP="00841DED">
            <w:pPr>
              <w:rPr>
                <w:b/>
                <w:bCs/>
                <w:lang w:val="it-IT"/>
              </w:rPr>
            </w:pPr>
            <w:r w:rsidRPr="00667EDE">
              <w:rPr>
                <w:b/>
                <w:bCs/>
                <w:lang w:val="it-IT"/>
              </w:rPr>
              <w:t>Primary outcome</w:t>
            </w:r>
          </w:p>
        </w:tc>
        <w:tc>
          <w:tcPr>
            <w:tcW w:w="4111" w:type="dxa"/>
          </w:tcPr>
          <w:p w:rsidR="00184AEC" w:rsidRPr="00667EDE" w:rsidRDefault="00184AEC" w:rsidP="00841DED">
            <w:r w:rsidRPr="00667EDE">
              <w:t>Probability of receiving inpatient CABG vs. PCI vs. conservative care for ACS (or 2/3 of)</w:t>
            </w:r>
          </w:p>
        </w:tc>
        <w:tc>
          <w:tcPr>
            <w:tcW w:w="3209" w:type="dxa"/>
          </w:tcPr>
          <w:p w:rsidR="00184AEC" w:rsidRPr="00667EDE" w:rsidRDefault="00184AEC" w:rsidP="00841DED"/>
        </w:tc>
      </w:tr>
      <w:tr w:rsidR="00184AEC" w:rsidRPr="00667EDE" w:rsidTr="00841DED">
        <w:tc>
          <w:tcPr>
            <w:tcW w:w="1696" w:type="dxa"/>
          </w:tcPr>
          <w:p w:rsidR="00184AEC" w:rsidRPr="00667EDE" w:rsidRDefault="00184AEC" w:rsidP="00841DED">
            <w:pPr>
              <w:rPr>
                <w:b/>
                <w:bCs/>
              </w:rPr>
            </w:pPr>
            <w:r w:rsidRPr="00667EDE">
              <w:rPr>
                <w:b/>
                <w:bCs/>
              </w:rPr>
              <w:t>Secondary outcomes</w:t>
            </w:r>
          </w:p>
        </w:tc>
        <w:tc>
          <w:tcPr>
            <w:tcW w:w="4111" w:type="dxa"/>
          </w:tcPr>
          <w:p w:rsidR="00184AEC" w:rsidRPr="00667EDE" w:rsidRDefault="00184AEC" w:rsidP="00841DED">
            <w:r w:rsidRPr="00667EDE">
              <w:t>Odds of receipt of revascularisation (any) versus conservative care for ACS</w:t>
            </w:r>
          </w:p>
          <w:p w:rsidR="00184AEC" w:rsidRPr="00667EDE" w:rsidRDefault="00184AEC" w:rsidP="00841DED"/>
          <w:p w:rsidR="00184AEC" w:rsidRPr="00667EDE" w:rsidRDefault="00184AEC" w:rsidP="00841DED">
            <w:r w:rsidRPr="00667EDE">
              <w:t>Odds of receipt of coronary angiography versus no invasive investigation for ACS</w:t>
            </w:r>
          </w:p>
        </w:tc>
        <w:tc>
          <w:tcPr>
            <w:tcW w:w="3209" w:type="dxa"/>
          </w:tcPr>
          <w:p w:rsidR="00184AEC" w:rsidRPr="00667EDE" w:rsidRDefault="00184AEC" w:rsidP="00841DED"/>
        </w:tc>
      </w:tr>
      <w:tr w:rsidR="00184AEC" w:rsidRPr="00667EDE" w:rsidTr="00841DED">
        <w:tc>
          <w:tcPr>
            <w:tcW w:w="1696" w:type="dxa"/>
          </w:tcPr>
          <w:p w:rsidR="00184AEC" w:rsidRPr="00667EDE" w:rsidRDefault="00184AEC" w:rsidP="00841DED">
            <w:pPr>
              <w:rPr>
                <w:b/>
                <w:bCs/>
              </w:rPr>
            </w:pPr>
            <w:r w:rsidRPr="00667EDE">
              <w:rPr>
                <w:b/>
                <w:bCs/>
              </w:rPr>
              <w:t>Setting</w:t>
            </w:r>
          </w:p>
        </w:tc>
        <w:tc>
          <w:tcPr>
            <w:tcW w:w="4111" w:type="dxa"/>
          </w:tcPr>
          <w:p w:rsidR="00184AEC" w:rsidRPr="00667EDE" w:rsidRDefault="00184AEC" w:rsidP="00841DED">
            <w:r w:rsidRPr="00667EDE">
              <w:t>Secondary or tertiary healthcare facilities in high-income countries</w:t>
            </w:r>
          </w:p>
        </w:tc>
        <w:tc>
          <w:tcPr>
            <w:tcW w:w="3209" w:type="dxa"/>
          </w:tcPr>
          <w:p w:rsidR="00184AEC" w:rsidRPr="00667EDE" w:rsidRDefault="00184AEC" w:rsidP="00841DED">
            <w:r w:rsidRPr="00667EDE">
              <w:t>(See list of LMIC below)</w:t>
            </w:r>
          </w:p>
        </w:tc>
      </w:tr>
      <w:tr w:rsidR="00184AEC" w:rsidRPr="00667EDE" w:rsidTr="00841DED">
        <w:tc>
          <w:tcPr>
            <w:tcW w:w="1696" w:type="dxa"/>
          </w:tcPr>
          <w:p w:rsidR="00184AEC" w:rsidRPr="00667EDE" w:rsidRDefault="00184AEC" w:rsidP="00841DED">
            <w:pPr>
              <w:rPr>
                <w:b/>
                <w:bCs/>
              </w:rPr>
            </w:pPr>
            <w:r w:rsidRPr="00667EDE">
              <w:rPr>
                <w:b/>
                <w:bCs/>
              </w:rPr>
              <w:t>Language</w:t>
            </w:r>
          </w:p>
        </w:tc>
        <w:tc>
          <w:tcPr>
            <w:tcW w:w="4111" w:type="dxa"/>
          </w:tcPr>
          <w:p w:rsidR="00184AEC" w:rsidRPr="00667EDE" w:rsidRDefault="00184AEC" w:rsidP="00841DED">
            <w:r w:rsidRPr="00667EDE">
              <w:t>Any language</w:t>
            </w:r>
          </w:p>
        </w:tc>
        <w:tc>
          <w:tcPr>
            <w:tcW w:w="3209" w:type="dxa"/>
          </w:tcPr>
          <w:p w:rsidR="00184AEC" w:rsidRPr="00667EDE" w:rsidRDefault="00184AEC" w:rsidP="00841DED"/>
        </w:tc>
      </w:tr>
      <w:tr w:rsidR="00184AEC" w:rsidRPr="00667EDE" w:rsidTr="00841DED">
        <w:tc>
          <w:tcPr>
            <w:tcW w:w="1696" w:type="dxa"/>
          </w:tcPr>
          <w:p w:rsidR="00184AEC" w:rsidRPr="00667EDE" w:rsidRDefault="00184AEC" w:rsidP="00841DED">
            <w:pPr>
              <w:rPr>
                <w:b/>
                <w:bCs/>
              </w:rPr>
            </w:pPr>
            <w:r w:rsidRPr="00667EDE">
              <w:rPr>
                <w:b/>
                <w:bCs/>
              </w:rPr>
              <w:t>Timeframe</w:t>
            </w:r>
          </w:p>
        </w:tc>
        <w:tc>
          <w:tcPr>
            <w:tcW w:w="4111" w:type="dxa"/>
          </w:tcPr>
          <w:p w:rsidR="00184AEC" w:rsidRPr="00667EDE" w:rsidRDefault="00184AEC" w:rsidP="00841DED">
            <w:r w:rsidRPr="00667EDE">
              <w:t>Published after 1</w:t>
            </w:r>
            <w:r w:rsidRPr="00667EDE">
              <w:rPr>
                <w:vertAlign w:val="superscript"/>
              </w:rPr>
              <w:t>st</w:t>
            </w:r>
            <w:r w:rsidRPr="00667EDE">
              <w:t xml:space="preserve"> January 2012 </w:t>
            </w:r>
          </w:p>
        </w:tc>
        <w:tc>
          <w:tcPr>
            <w:tcW w:w="3209" w:type="dxa"/>
          </w:tcPr>
          <w:p w:rsidR="00184AEC" w:rsidRPr="00667EDE" w:rsidRDefault="00184AEC" w:rsidP="00841DED"/>
        </w:tc>
      </w:tr>
    </w:tbl>
    <w:p w:rsidR="00184AEC" w:rsidRPr="00667EDE" w:rsidRDefault="00184AEC" w:rsidP="00184AEC">
      <w:pPr>
        <w:rPr>
          <w:i/>
          <w:iCs/>
        </w:rPr>
      </w:pPr>
      <w:r w:rsidRPr="00667EDE">
        <w:rPr>
          <w:vertAlign w:val="superscript"/>
        </w:rPr>
        <w:t>1</w:t>
      </w:r>
      <w:r w:rsidRPr="00667EDE">
        <w:rPr>
          <w:i/>
          <w:iCs/>
        </w:rPr>
        <w:t>Quantitative data only extracted.</w:t>
      </w:r>
      <w:r w:rsidRPr="00667EDE">
        <w:t xml:space="preserve"> </w:t>
      </w:r>
      <w:r w:rsidRPr="00667EDE">
        <w:rPr>
          <w:i/>
          <w:iCs/>
        </w:rPr>
        <w:t>Ten papers were independently assessed by all authors; the remainder were screened by one of the four.</w:t>
      </w:r>
    </w:p>
    <w:p w:rsidR="00184AEC" w:rsidRPr="00667EDE" w:rsidRDefault="00184AEC" w:rsidP="00184AEC">
      <w:pPr>
        <w:rPr>
          <w:rFonts w:cstheme="minorHAnsi"/>
          <w:b/>
          <w:bCs/>
        </w:rPr>
      </w:pPr>
      <w:r w:rsidRPr="00667EDE">
        <w:rPr>
          <w:rFonts w:cstheme="minorHAnsi"/>
          <w:b/>
          <w:bCs/>
        </w:rPr>
        <w:t>Study definitions</w:t>
      </w:r>
    </w:p>
    <w:p w:rsidR="00184AEC" w:rsidRPr="00667EDE" w:rsidRDefault="00184AEC" w:rsidP="00184AEC">
      <w:pPr>
        <w:rPr>
          <w:rFonts w:cstheme="minorHAnsi"/>
          <w:b/>
          <w:bCs/>
        </w:rPr>
      </w:pPr>
      <w:r w:rsidRPr="00667EDE">
        <w:rPr>
          <w:rFonts w:cstheme="minorHAnsi"/>
          <w:b/>
          <w:bCs/>
        </w:rPr>
        <w:t>The following definitions apply to this review:</w:t>
      </w:r>
    </w:p>
    <w:p w:rsidR="00184AEC" w:rsidRPr="00667EDE" w:rsidRDefault="00184AEC" w:rsidP="00184AEC">
      <w:pPr>
        <w:pStyle w:val="ListParagraph"/>
        <w:numPr>
          <w:ilvl w:val="0"/>
          <w:numId w:val="1"/>
        </w:numPr>
        <w:spacing w:after="120" w:line="276" w:lineRule="auto"/>
        <w:rPr>
          <w:rFonts w:cstheme="minorHAnsi"/>
        </w:rPr>
      </w:pPr>
      <w:r w:rsidRPr="00667EDE">
        <w:rPr>
          <w:rFonts w:cstheme="minorHAnsi"/>
        </w:rPr>
        <w:t>CKD will be defined as:</w:t>
      </w:r>
    </w:p>
    <w:p w:rsidR="00184AEC" w:rsidRPr="00667EDE" w:rsidRDefault="00184AEC" w:rsidP="00184AEC">
      <w:pPr>
        <w:pStyle w:val="ListParagraph"/>
        <w:numPr>
          <w:ilvl w:val="0"/>
          <w:numId w:val="2"/>
        </w:numPr>
        <w:spacing w:after="120" w:line="276" w:lineRule="auto"/>
        <w:rPr>
          <w:rFonts w:cstheme="minorHAnsi"/>
        </w:rPr>
      </w:pPr>
      <w:r w:rsidRPr="00667EDE">
        <w:rPr>
          <w:rFonts w:cstheme="minorHAnsi"/>
        </w:rPr>
        <w:t>A clinical code indicating CKD (stage unspecified) or CKD stage 3-5</w:t>
      </w:r>
    </w:p>
    <w:p w:rsidR="00184AEC" w:rsidRPr="00667EDE" w:rsidRDefault="00184AEC" w:rsidP="00184AEC">
      <w:pPr>
        <w:pStyle w:val="ListParagraph"/>
        <w:numPr>
          <w:ilvl w:val="0"/>
          <w:numId w:val="2"/>
        </w:numPr>
        <w:spacing w:after="120" w:line="276" w:lineRule="auto"/>
        <w:rPr>
          <w:rFonts w:cstheme="minorHAnsi"/>
        </w:rPr>
      </w:pPr>
      <w:r w:rsidRPr="00667EDE">
        <w:rPr>
          <w:rFonts w:cstheme="minorHAnsi"/>
        </w:rPr>
        <w:t>One or more serum creatinine, creatinine clearance or eGFR values consistent with CKD stage 3-5, when this has been used by researchers to diagnose CKD</w:t>
      </w:r>
    </w:p>
    <w:p w:rsidR="00184AEC" w:rsidRPr="00667EDE" w:rsidRDefault="00184AEC" w:rsidP="00184AEC">
      <w:pPr>
        <w:pStyle w:val="ListParagraph"/>
        <w:numPr>
          <w:ilvl w:val="0"/>
          <w:numId w:val="2"/>
        </w:numPr>
        <w:spacing w:after="120" w:line="276" w:lineRule="auto"/>
        <w:rPr>
          <w:rFonts w:cstheme="minorHAnsi"/>
        </w:rPr>
      </w:pPr>
      <w:r w:rsidRPr="00667EDE">
        <w:rPr>
          <w:rFonts w:cstheme="minorHAnsi"/>
        </w:rPr>
        <w:t>Receipt of a functioning renal transplant</w:t>
      </w:r>
    </w:p>
    <w:p w:rsidR="00184AEC" w:rsidRPr="00667EDE" w:rsidRDefault="00184AEC" w:rsidP="00184AEC">
      <w:pPr>
        <w:pStyle w:val="ListParagraph"/>
        <w:numPr>
          <w:ilvl w:val="0"/>
          <w:numId w:val="2"/>
        </w:numPr>
        <w:spacing w:after="120" w:line="276" w:lineRule="auto"/>
        <w:rPr>
          <w:rFonts w:cstheme="minorHAnsi"/>
        </w:rPr>
      </w:pPr>
      <w:r w:rsidRPr="00667EDE">
        <w:rPr>
          <w:rFonts w:cstheme="minorHAnsi"/>
        </w:rPr>
        <w:t>Regular receipt of haemodialysis, haemodiafiltration or peritoneal dialysis for CKDdney failure</w:t>
      </w:r>
    </w:p>
    <w:p w:rsidR="00184AEC" w:rsidRPr="00667EDE" w:rsidRDefault="00184AEC" w:rsidP="00184AEC">
      <w:pPr>
        <w:pStyle w:val="ListParagraph"/>
        <w:spacing w:line="276" w:lineRule="auto"/>
        <w:ind w:left="1080"/>
        <w:rPr>
          <w:rFonts w:cstheme="minorHAnsi"/>
        </w:rPr>
      </w:pPr>
    </w:p>
    <w:p w:rsidR="00184AEC" w:rsidRPr="00667EDE" w:rsidRDefault="00184AEC" w:rsidP="00184AEC">
      <w:pPr>
        <w:pStyle w:val="ListParagraph"/>
        <w:numPr>
          <w:ilvl w:val="0"/>
          <w:numId w:val="1"/>
        </w:numPr>
        <w:spacing w:after="120" w:line="276" w:lineRule="auto"/>
        <w:rPr>
          <w:rFonts w:cstheme="minorHAnsi"/>
        </w:rPr>
      </w:pPr>
      <w:r w:rsidRPr="00667EDE">
        <w:rPr>
          <w:rFonts w:cstheme="minorHAnsi"/>
        </w:rPr>
        <w:t>MI will be defined as a clinical diagnosis of type 1 myocardial infarction (either subendocardial or transmural). Where the type of myocardial infarction is not specified, it will be assumed to be type 1.</w:t>
      </w:r>
    </w:p>
    <w:p w:rsidR="00184AEC" w:rsidRPr="00667EDE" w:rsidRDefault="00184AEC" w:rsidP="00184AEC">
      <w:pPr>
        <w:pStyle w:val="ListParagraph"/>
        <w:spacing w:line="276" w:lineRule="auto"/>
        <w:rPr>
          <w:rFonts w:cstheme="minorHAnsi"/>
        </w:rPr>
      </w:pPr>
    </w:p>
    <w:p w:rsidR="00184AEC" w:rsidRPr="00667EDE" w:rsidRDefault="00184AEC" w:rsidP="00184AEC">
      <w:pPr>
        <w:pStyle w:val="ListParagraph"/>
        <w:numPr>
          <w:ilvl w:val="0"/>
          <w:numId w:val="1"/>
        </w:numPr>
        <w:spacing w:after="120" w:line="276" w:lineRule="auto"/>
        <w:rPr>
          <w:rFonts w:cstheme="minorHAnsi"/>
        </w:rPr>
      </w:pPr>
      <w:r w:rsidRPr="00667EDE">
        <w:rPr>
          <w:rFonts w:cstheme="minorHAnsi"/>
        </w:rPr>
        <w:t>Coronary intervention will be defined as:</w:t>
      </w:r>
    </w:p>
    <w:p w:rsidR="00184AEC" w:rsidRPr="00667EDE" w:rsidRDefault="00184AEC" w:rsidP="00184AEC">
      <w:pPr>
        <w:pStyle w:val="ListParagraph"/>
        <w:numPr>
          <w:ilvl w:val="1"/>
          <w:numId w:val="1"/>
        </w:numPr>
        <w:spacing w:after="120" w:line="276" w:lineRule="auto"/>
        <w:rPr>
          <w:rFonts w:cstheme="minorHAnsi"/>
        </w:rPr>
      </w:pPr>
      <w:r w:rsidRPr="00667EDE">
        <w:rPr>
          <w:rFonts w:cstheme="minorHAnsi"/>
        </w:rPr>
        <w:t>Coronary angiography</w:t>
      </w:r>
    </w:p>
    <w:p w:rsidR="00184AEC" w:rsidRPr="00667EDE" w:rsidRDefault="00184AEC" w:rsidP="00184AEC">
      <w:pPr>
        <w:pStyle w:val="ListParagraph"/>
        <w:numPr>
          <w:ilvl w:val="1"/>
          <w:numId w:val="1"/>
        </w:numPr>
        <w:spacing w:after="120" w:line="276" w:lineRule="auto"/>
        <w:rPr>
          <w:rFonts w:cstheme="minorHAnsi"/>
        </w:rPr>
      </w:pPr>
      <w:r w:rsidRPr="00667EDE">
        <w:rPr>
          <w:rFonts w:cstheme="minorHAnsi"/>
        </w:rPr>
        <w:t>Percutaneous coronary intervention (PCI)</w:t>
      </w:r>
    </w:p>
    <w:p w:rsidR="00184AEC" w:rsidRPr="00667EDE" w:rsidRDefault="00184AEC" w:rsidP="00184AEC">
      <w:pPr>
        <w:pStyle w:val="ListParagraph"/>
        <w:numPr>
          <w:ilvl w:val="1"/>
          <w:numId w:val="1"/>
        </w:numPr>
        <w:spacing w:after="120" w:line="276" w:lineRule="auto"/>
        <w:rPr>
          <w:rFonts w:cstheme="minorHAnsi"/>
        </w:rPr>
      </w:pPr>
      <w:r w:rsidRPr="00667EDE">
        <w:rPr>
          <w:rFonts w:cstheme="minorHAnsi"/>
        </w:rPr>
        <w:t>Coronary artery bypass graft (CABG)</w:t>
      </w:r>
    </w:p>
    <w:p w:rsidR="00184AEC" w:rsidRPr="00667EDE" w:rsidRDefault="00184AEC" w:rsidP="00184AEC">
      <w:pPr>
        <w:pStyle w:val="ListParagraph"/>
        <w:spacing w:after="120" w:line="276" w:lineRule="auto"/>
        <w:ind w:left="1440"/>
        <w:rPr>
          <w:rFonts w:cstheme="minorHAnsi"/>
        </w:rPr>
      </w:pPr>
    </w:p>
    <w:p w:rsidR="00F2703C" w:rsidRDefault="00184AEC" w:rsidP="00184AEC">
      <w:r w:rsidRPr="00667EDE">
        <w:rPr>
          <w:rFonts w:cstheme="minorHAnsi"/>
        </w:rPr>
        <w:t>Optimal medical management (OMT) will be defined as the treatment received by patients who have a type 1 MI and do not undergo coronary revascularisation (PCI or CABG)</w:t>
      </w:r>
    </w:p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51E"/>
    <w:multiLevelType w:val="multilevel"/>
    <w:tmpl w:val="03BF65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AB1EEC"/>
    <w:multiLevelType w:val="multilevel"/>
    <w:tmpl w:val="0CAB1E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09169A"/>
    <w:rsid w:val="00184AEC"/>
    <w:rsid w:val="007F3FBA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69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A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184A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184AEC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table" w:styleId="TableGrid">
    <w:name w:val="Table Grid"/>
    <w:basedOn w:val="TableNormal"/>
    <w:uiPriority w:val="39"/>
    <w:qFormat/>
    <w:rsid w:val="00184AEC"/>
    <w:pPr>
      <w:spacing w:after="0" w:line="240" w:lineRule="auto"/>
    </w:pPr>
    <w:rPr>
      <w:rFonts w:eastAsiaTheme="minorHAns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84AEC"/>
    <w:rPr>
      <w:rFonts w:eastAsiaTheme="minorHAnsi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184AEC"/>
    <w:rPr>
      <w:smallCaps/>
      <w:color w:val="595959" w:themeColor="text1" w:themeTint="A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2024-11-28T11:36:00Z</dcterms:modified>
</cp:coreProperties>
</file>