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A5E" w:rsidRPr="00667EDE" w:rsidRDefault="00465A5E" w:rsidP="00465A5E">
      <w:pPr>
        <w:pStyle w:val="Heading2"/>
        <w:spacing w:after="240"/>
        <w:rPr>
          <w:smallCaps/>
          <w:color w:val="auto"/>
          <w:sz w:val="24"/>
          <w:szCs w:val="24"/>
        </w:rPr>
      </w:pPr>
      <w:bookmarkStart w:id="0" w:name="_Toc182222084"/>
      <w:r w:rsidRPr="00667EDE">
        <w:rPr>
          <w:rStyle w:val="SubtleReference1"/>
          <w:b/>
          <w:bCs/>
          <w:color w:val="auto"/>
          <w:sz w:val="24"/>
          <w:szCs w:val="24"/>
        </w:rPr>
        <w:t>Suppl 5.</w:t>
      </w:r>
      <w:r w:rsidRPr="00667EDE">
        <w:rPr>
          <w:rStyle w:val="SubtleReference1"/>
          <w:color w:val="auto"/>
          <w:sz w:val="24"/>
          <w:szCs w:val="24"/>
        </w:rPr>
        <w:t xml:space="preserve"> grade ratings of certainty of outcome, by domain</w:t>
      </w:r>
      <w:bookmarkEnd w:id="0"/>
    </w:p>
    <w:tbl>
      <w:tblPr>
        <w:tblW w:w="4978" w:type="pct"/>
        <w:tblLayout w:type="fixed"/>
        <w:tblLook w:val="04A0"/>
      </w:tblPr>
      <w:tblGrid>
        <w:gridCol w:w="1911"/>
        <w:gridCol w:w="1231"/>
        <w:gridCol w:w="959"/>
        <w:gridCol w:w="686"/>
        <w:gridCol w:w="954"/>
        <w:gridCol w:w="1096"/>
        <w:gridCol w:w="956"/>
        <w:gridCol w:w="959"/>
        <w:gridCol w:w="959"/>
        <w:gridCol w:w="814"/>
        <w:gridCol w:w="825"/>
        <w:gridCol w:w="1090"/>
        <w:gridCol w:w="956"/>
      </w:tblGrid>
      <w:tr w:rsidR="00465A5E" w:rsidRPr="00667EDE" w:rsidTr="00841DED">
        <w:trPr>
          <w:trHeight w:val="720"/>
        </w:trPr>
        <w:tc>
          <w:tcPr>
            <w:tcW w:w="713" w:type="pct"/>
            <w:vMerge w:val="restart"/>
            <w:tcBorders>
              <w:top w:val="single" w:sz="4" w:space="0" w:color="auto"/>
              <w:left w:val="single" w:sz="4" w:space="0" w:color="auto"/>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Outcomes</w:t>
            </w:r>
          </w:p>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 </w:t>
            </w:r>
          </w:p>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 </w:t>
            </w:r>
          </w:p>
        </w:tc>
        <w:tc>
          <w:tcPr>
            <w:tcW w:w="459" w:type="pct"/>
            <w:vMerge w:val="restart"/>
            <w:tcBorders>
              <w:top w:val="single" w:sz="4" w:space="0" w:color="auto"/>
              <w:left w:val="single" w:sz="4" w:space="0" w:color="auto"/>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Summary estimate of effect</w:t>
            </w:r>
          </w:p>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 </w:t>
            </w:r>
          </w:p>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 </w:t>
            </w:r>
          </w:p>
        </w:tc>
        <w:tc>
          <w:tcPr>
            <w:tcW w:w="358" w:type="pct"/>
            <w:vMerge w:val="restart"/>
            <w:tcBorders>
              <w:top w:val="single" w:sz="4" w:space="0" w:color="auto"/>
              <w:left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 participants</w:t>
            </w:r>
          </w:p>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 </w:t>
            </w:r>
          </w:p>
        </w:tc>
        <w:tc>
          <w:tcPr>
            <w:tcW w:w="256" w:type="pct"/>
            <w:vMerge w:val="restart"/>
            <w:tcBorders>
              <w:top w:val="single" w:sz="4" w:space="0" w:color="auto"/>
              <w:left w:val="nil"/>
              <w:right w:val="single" w:sz="4" w:space="0" w:color="auto"/>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w:t>
            </w:r>
          </w:p>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studies</w:t>
            </w:r>
          </w:p>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 </w:t>
            </w:r>
          </w:p>
        </w:tc>
        <w:tc>
          <w:tcPr>
            <w:tcW w:w="2857"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Certainty in the evidence (v low, low, moderate, high)</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Conclusion certainty</w:t>
            </w:r>
          </w:p>
        </w:tc>
      </w:tr>
      <w:tr w:rsidR="00465A5E" w:rsidRPr="00667EDE" w:rsidTr="00841DED">
        <w:trPr>
          <w:trHeight w:val="300"/>
        </w:trPr>
        <w:tc>
          <w:tcPr>
            <w:tcW w:w="713" w:type="pct"/>
            <w:vMerge/>
            <w:tcBorders>
              <w:left w:val="single" w:sz="4" w:space="0" w:color="auto"/>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p>
        </w:tc>
        <w:tc>
          <w:tcPr>
            <w:tcW w:w="459" w:type="pct"/>
            <w:vMerge/>
            <w:tcBorders>
              <w:left w:val="single" w:sz="4" w:space="0" w:color="auto"/>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p>
        </w:tc>
        <w:tc>
          <w:tcPr>
            <w:tcW w:w="358" w:type="pct"/>
            <w:vMerge/>
            <w:tcBorders>
              <w:left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p>
        </w:tc>
        <w:tc>
          <w:tcPr>
            <w:tcW w:w="256" w:type="pct"/>
            <w:vMerge/>
            <w:tcBorders>
              <w:left w:val="nil"/>
              <w:right w:val="single" w:sz="4" w:space="0" w:color="auto"/>
            </w:tcBorders>
            <w:shd w:val="clear" w:color="auto" w:fill="auto"/>
            <w:vAlign w:val="center"/>
          </w:tcPr>
          <w:p w:rsidR="00465A5E" w:rsidRPr="00667EDE" w:rsidRDefault="00465A5E" w:rsidP="00841DED">
            <w:pPr>
              <w:spacing w:after="0" w:line="240" w:lineRule="auto"/>
              <w:jc w:val="center"/>
              <w:rPr>
                <w:rFonts w:ascii="Times New Roman" w:eastAsia="Times New Roman" w:hAnsi="Times New Roman" w:cs="Times New Roman"/>
                <w:sz w:val="16"/>
                <w:szCs w:val="16"/>
                <w:lang w:eastAsia="en-GB"/>
              </w:rPr>
            </w:pPr>
          </w:p>
        </w:tc>
        <w:tc>
          <w:tcPr>
            <w:tcW w:w="1838" w:type="pct"/>
            <w:gridSpan w:val="5"/>
            <w:tcBorders>
              <w:top w:val="single" w:sz="4" w:space="0" w:color="auto"/>
              <w:left w:val="single" w:sz="4" w:space="0" w:color="auto"/>
              <w:bottom w:val="nil"/>
              <w:right w:val="single" w:sz="4" w:space="0" w:color="auto"/>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Downgrade for</w:t>
            </w:r>
          </w:p>
        </w:tc>
        <w:tc>
          <w:tcPr>
            <w:tcW w:w="1019" w:type="pct"/>
            <w:gridSpan w:val="3"/>
            <w:tcBorders>
              <w:top w:val="nil"/>
              <w:left w:val="single" w:sz="4" w:space="0" w:color="auto"/>
              <w:bottom w:val="nil"/>
              <w:right w:val="single" w:sz="4" w:space="0" w:color="auto"/>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Upgrade for</w:t>
            </w:r>
          </w:p>
        </w:tc>
        <w:tc>
          <w:tcPr>
            <w:tcW w:w="357" w:type="pct"/>
            <w:vMerge/>
            <w:tcBorders>
              <w:top w:val="single" w:sz="4" w:space="0" w:color="auto"/>
              <w:left w:val="single" w:sz="4" w:space="0" w:color="auto"/>
              <w:bottom w:val="single" w:sz="4" w:space="0" w:color="auto"/>
              <w:right w:val="single" w:sz="4" w:space="0" w:color="auto"/>
            </w:tcBorders>
            <w:vAlign w:val="center"/>
          </w:tcPr>
          <w:p w:rsidR="00465A5E" w:rsidRPr="00667EDE" w:rsidRDefault="00465A5E" w:rsidP="00841DED">
            <w:pPr>
              <w:spacing w:after="0" w:line="240" w:lineRule="auto"/>
              <w:rPr>
                <w:rFonts w:ascii="Calibri" w:eastAsia="Times New Roman" w:hAnsi="Calibri" w:cs="Calibri"/>
                <w:sz w:val="16"/>
                <w:szCs w:val="16"/>
                <w:lang w:eastAsia="en-GB"/>
              </w:rPr>
            </w:pPr>
          </w:p>
        </w:tc>
      </w:tr>
      <w:tr w:rsidR="00465A5E" w:rsidRPr="00667EDE" w:rsidTr="00841DED">
        <w:trPr>
          <w:trHeight w:val="480"/>
        </w:trPr>
        <w:tc>
          <w:tcPr>
            <w:tcW w:w="713" w:type="pct"/>
            <w:vMerge/>
            <w:tcBorders>
              <w:left w:val="single" w:sz="4" w:space="0" w:color="auto"/>
              <w:bottom w:val="single" w:sz="4" w:space="0" w:color="auto"/>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p>
        </w:tc>
        <w:tc>
          <w:tcPr>
            <w:tcW w:w="459" w:type="pct"/>
            <w:vMerge/>
            <w:tcBorders>
              <w:left w:val="single" w:sz="4" w:space="0" w:color="auto"/>
              <w:bottom w:val="single" w:sz="4" w:space="0" w:color="auto"/>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p>
        </w:tc>
        <w:tc>
          <w:tcPr>
            <w:tcW w:w="358" w:type="pct"/>
            <w:vMerge/>
            <w:tcBorders>
              <w:left w:val="nil"/>
              <w:bottom w:val="single" w:sz="4" w:space="0" w:color="auto"/>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p>
        </w:tc>
        <w:tc>
          <w:tcPr>
            <w:tcW w:w="256" w:type="pct"/>
            <w:vMerge/>
            <w:tcBorders>
              <w:left w:val="nil"/>
              <w:bottom w:val="single" w:sz="4" w:space="0" w:color="auto"/>
              <w:right w:val="single" w:sz="4" w:space="0" w:color="auto"/>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p>
        </w:tc>
        <w:tc>
          <w:tcPr>
            <w:tcW w:w="356" w:type="pct"/>
            <w:tcBorders>
              <w:top w:val="nil"/>
              <w:left w:val="single" w:sz="4" w:space="0" w:color="auto"/>
              <w:bottom w:val="single" w:sz="4" w:space="0" w:color="auto"/>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Risk of bias</w:t>
            </w:r>
          </w:p>
        </w:tc>
        <w:tc>
          <w:tcPr>
            <w:tcW w:w="409" w:type="pct"/>
            <w:tcBorders>
              <w:top w:val="nil"/>
              <w:left w:val="nil"/>
              <w:bottom w:val="single" w:sz="4" w:space="0" w:color="auto"/>
              <w:right w:val="nil"/>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Inconsistency</w:t>
            </w:r>
          </w:p>
        </w:tc>
        <w:tc>
          <w:tcPr>
            <w:tcW w:w="357" w:type="pct"/>
            <w:tcBorders>
              <w:top w:val="nil"/>
              <w:left w:val="nil"/>
              <w:bottom w:val="single" w:sz="4" w:space="0" w:color="auto"/>
              <w:right w:val="nil"/>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Directness</w:t>
            </w:r>
          </w:p>
        </w:tc>
        <w:tc>
          <w:tcPr>
            <w:tcW w:w="358" w:type="pct"/>
            <w:tcBorders>
              <w:top w:val="nil"/>
              <w:left w:val="nil"/>
              <w:bottom w:val="single" w:sz="4" w:space="0" w:color="auto"/>
              <w:right w:val="nil"/>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Imprecision</w:t>
            </w:r>
          </w:p>
        </w:tc>
        <w:tc>
          <w:tcPr>
            <w:tcW w:w="358" w:type="pct"/>
            <w:tcBorders>
              <w:top w:val="nil"/>
              <w:left w:val="nil"/>
              <w:bottom w:val="single" w:sz="4" w:space="0" w:color="auto"/>
              <w:right w:val="single" w:sz="4" w:space="0" w:color="auto"/>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Publication bias</w:t>
            </w:r>
          </w:p>
        </w:tc>
        <w:tc>
          <w:tcPr>
            <w:tcW w:w="304" w:type="pct"/>
            <w:tcBorders>
              <w:top w:val="nil"/>
              <w:left w:val="nil"/>
              <w:bottom w:val="single" w:sz="4" w:space="0" w:color="auto"/>
              <w:right w:val="nil"/>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Effect size</w:t>
            </w:r>
          </w:p>
        </w:tc>
        <w:tc>
          <w:tcPr>
            <w:tcW w:w="308" w:type="pct"/>
            <w:tcBorders>
              <w:top w:val="nil"/>
              <w:left w:val="nil"/>
              <w:bottom w:val="single" w:sz="4" w:space="0" w:color="auto"/>
              <w:right w:val="nil"/>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Dose response</w:t>
            </w:r>
          </w:p>
        </w:tc>
        <w:tc>
          <w:tcPr>
            <w:tcW w:w="407" w:type="pct"/>
            <w:tcBorders>
              <w:top w:val="nil"/>
              <w:left w:val="nil"/>
              <w:bottom w:val="single" w:sz="4" w:space="0" w:color="auto"/>
              <w:right w:val="single" w:sz="4" w:space="0" w:color="auto"/>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Confounding</w:t>
            </w:r>
          </w:p>
        </w:tc>
        <w:tc>
          <w:tcPr>
            <w:tcW w:w="357" w:type="pct"/>
            <w:vMerge/>
            <w:tcBorders>
              <w:top w:val="single" w:sz="4" w:space="0" w:color="auto"/>
              <w:left w:val="single" w:sz="4" w:space="0" w:color="auto"/>
              <w:bottom w:val="single" w:sz="4" w:space="0" w:color="auto"/>
              <w:right w:val="single" w:sz="4" w:space="0" w:color="auto"/>
            </w:tcBorders>
            <w:vAlign w:val="center"/>
          </w:tcPr>
          <w:p w:rsidR="00465A5E" w:rsidRPr="00667EDE" w:rsidRDefault="00465A5E" w:rsidP="00841DED">
            <w:pPr>
              <w:spacing w:after="0" w:line="240" w:lineRule="auto"/>
              <w:rPr>
                <w:rFonts w:ascii="Calibri" w:eastAsia="Times New Roman" w:hAnsi="Calibri" w:cs="Calibri"/>
                <w:sz w:val="16"/>
                <w:szCs w:val="16"/>
                <w:lang w:eastAsia="en-GB"/>
              </w:rPr>
            </w:pPr>
          </w:p>
        </w:tc>
      </w:tr>
      <w:tr w:rsidR="00465A5E" w:rsidRPr="00667EDE" w:rsidTr="00841DED">
        <w:trPr>
          <w:trHeight w:val="1369"/>
        </w:trPr>
        <w:tc>
          <w:tcPr>
            <w:tcW w:w="713" w:type="pct"/>
            <w:tcBorders>
              <w:top w:val="nil"/>
              <w:left w:val="single" w:sz="4" w:space="0" w:color="auto"/>
              <w:bottom w:val="nil"/>
              <w:right w:val="nil"/>
            </w:tcBorders>
            <w:shd w:val="clear" w:color="auto" w:fill="auto"/>
            <w:noWrap/>
            <w:vAlign w:val="center"/>
          </w:tcPr>
          <w:p w:rsidR="00465A5E" w:rsidRPr="00667EDE" w:rsidRDefault="00465A5E" w:rsidP="00841DED">
            <w:pPr>
              <w:spacing w:after="0" w:line="240" w:lineRule="auto"/>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CKD is associated with increased odds of receipt of CABG amongst people revascularised following ACS</w:t>
            </w:r>
          </w:p>
        </w:tc>
        <w:tc>
          <w:tcPr>
            <w:tcW w:w="459" w:type="pct"/>
            <w:tcBorders>
              <w:top w:val="nil"/>
              <w:left w:val="single" w:sz="4" w:space="0" w:color="auto"/>
              <w:bottom w:val="nil"/>
              <w:right w:val="nil"/>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1.48 (1.33-1.65)</w:t>
            </w:r>
          </w:p>
        </w:tc>
        <w:tc>
          <w:tcPr>
            <w:tcW w:w="358" w:type="pct"/>
            <w:tcBorders>
              <w:top w:val="nil"/>
              <w:left w:val="nil"/>
              <w:bottom w:val="nil"/>
              <w:right w:val="nil"/>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4,423,959</w:t>
            </w:r>
          </w:p>
        </w:tc>
        <w:tc>
          <w:tcPr>
            <w:tcW w:w="256" w:type="pct"/>
            <w:tcBorders>
              <w:top w:val="nil"/>
              <w:left w:val="nil"/>
              <w:bottom w:val="nil"/>
              <w:right w:val="single" w:sz="4" w:space="0" w:color="auto"/>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13</w:t>
            </w:r>
          </w:p>
        </w:tc>
        <w:tc>
          <w:tcPr>
            <w:tcW w:w="356" w:type="pct"/>
            <w:tcBorders>
              <w:top w:val="nil"/>
              <w:left w:val="single" w:sz="4" w:space="0" w:color="auto"/>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No change. Already marked down for RoB effects in indirectness.</w:t>
            </w:r>
          </w:p>
        </w:tc>
        <w:tc>
          <w:tcPr>
            <w:tcW w:w="409" w:type="pct"/>
            <w:tcBorders>
              <w:top w:val="nil"/>
              <w:left w:val="nil"/>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No change</w:t>
            </w:r>
          </w:p>
        </w:tc>
        <w:tc>
          <w:tcPr>
            <w:tcW w:w="357" w:type="pct"/>
            <w:tcBorders>
              <w:top w:val="nil"/>
              <w:left w:val="nil"/>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Mark down one. 4/13 studies refer to dialysis populations in STEAC. 5/13 define CKD as codes.</w:t>
            </w:r>
          </w:p>
        </w:tc>
        <w:tc>
          <w:tcPr>
            <w:tcW w:w="358" w:type="pct"/>
            <w:tcBorders>
              <w:top w:val="nil"/>
              <w:left w:val="nil"/>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No change.</w:t>
            </w:r>
          </w:p>
        </w:tc>
        <w:tc>
          <w:tcPr>
            <w:tcW w:w="358" w:type="pct"/>
            <w:tcBorders>
              <w:top w:val="nil"/>
              <w:left w:val="nil"/>
              <w:bottom w:val="nil"/>
              <w:right w:val="single" w:sz="4" w:space="0" w:color="auto"/>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No change. No systematic difference in results b/ween small and larger studies.</w:t>
            </w:r>
          </w:p>
        </w:tc>
        <w:tc>
          <w:tcPr>
            <w:tcW w:w="304" w:type="pct"/>
            <w:tcBorders>
              <w:top w:val="nil"/>
              <w:left w:val="single" w:sz="4" w:space="0" w:color="auto"/>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Modest effect</w:t>
            </w:r>
          </w:p>
        </w:tc>
        <w:tc>
          <w:tcPr>
            <w:tcW w:w="308" w:type="pct"/>
            <w:tcBorders>
              <w:top w:val="nil"/>
              <w:left w:val="nil"/>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N/a</w:t>
            </w:r>
          </w:p>
        </w:tc>
        <w:tc>
          <w:tcPr>
            <w:tcW w:w="407" w:type="pct"/>
            <w:tcBorders>
              <w:top w:val="nil"/>
              <w:left w:val="nil"/>
              <w:bottom w:val="nil"/>
              <w:right w:val="single" w:sz="4" w:space="0" w:color="auto"/>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N/a</w:t>
            </w:r>
          </w:p>
        </w:tc>
        <w:tc>
          <w:tcPr>
            <w:tcW w:w="357" w:type="pct"/>
            <w:tcBorders>
              <w:top w:val="single" w:sz="4" w:space="0" w:color="auto"/>
              <w:left w:val="single" w:sz="4" w:space="0" w:color="auto"/>
              <w:bottom w:val="nil"/>
              <w:right w:val="single" w:sz="4" w:space="0" w:color="auto"/>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Moderate</w:t>
            </w:r>
          </w:p>
        </w:tc>
      </w:tr>
      <w:tr w:rsidR="00465A5E" w:rsidRPr="00667EDE" w:rsidTr="00841DED">
        <w:trPr>
          <w:trHeight w:val="1189"/>
        </w:trPr>
        <w:tc>
          <w:tcPr>
            <w:tcW w:w="713" w:type="pct"/>
            <w:tcBorders>
              <w:top w:val="nil"/>
              <w:left w:val="single" w:sz="4" w:space="0" w:color="auto"/>
              <w:bottom w:val="nil"/>
              <w:right w:val="nil"/>
            </w:tcBorders>
            <w:shd w:val="clear" w:color="auto" w:fill="auto"/>
            <w:noWrap/>
            <w:vAlign w:val="center"/>
          </w:tcPr>
          <w:p w:rsidR="00465A5E" w:rsidRPr="00667EDE" w:rsidRDefault="00465A5E" w:rsidP="00841DED">
            <w:pPr>
              <w:spacing w:after="0" w:line="240" w:lineRule="auto"/>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CKD is associated with increased odds of receipt of CABG amongst people revascularised following NSTE-ACS</w:t>
            </w:r>
          </w:p>
        </w:tc>
        <w:tc>
          <w:tcPr>
            <w:tcW w:w="459" w:type="pct"/>
            <w:tcBorders>
              <w:top w:val="nil"/>
              <w:left w:val="single" w:sz="4" w:space="0" w:color="auto"/>
              <w:bottom w:val="nil"/>
              <w:right w:val="nil"/>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1.17 (1.11-1.22)</w:t>
            </w:r>
          </w:p>
        </w:tc>
        <w:tc>
          <w:tcPr>
            <w:tcW w:w="358" w:type="pct"/>
            <w:tcBorders>
              <w:top w:val="nil"/>
              <w:left w:val="nil"/>
              <w:bottom w:val="nil"/>
              <w:right w:val="nil"/>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1,709,625</w:t>
            </w:r>
          </w:p>
        </w:tc>
        <w:tc>
          <w:tcPr>
            <w:tcW w:w="256" w:type="pct"/>
            <w:tcBorders>
              <w:top w:val="nil"/>
              <w:left w:val="nil"/>
              <w:bottom w:val="nil"/>
              <w:right w:val="single" w:sz="4" w:space="0" w:color="auto"/>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6</w:t>
            </w:r>
          </w:p>
        </w:tc>
        <w:tc>
          <w:tcPr>
            <w:tcW w:w="356" w:type="pct"/>
            <w:tcBorders>
              <w:top w:val="nil"/>
              <w:left w:val="single" w:sz="4" w:space="0" w:color="auto"/>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No change., No systematic bias.</w:t>
            </w:r>
          </w:p>
        </w:tc>
        <w:tc>
          <w:tcPr>
            <w:tcW w:w="409" w:type="pct"/>
            <w:tcBorders>
              <w:top w:val="nil"/>
              <w:left w:val="nil"/>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No change. Less marked effect estimates explained by higher %CKD in population</w:t>
            </w:r>
          </w:p>
        </w:tc>
        <w:tc>
          <w:tcPr>
            <w:tcW w:w="357" w:type="pct"/>
            <w:tcBorders>
              <w:top w:val="nil"/>
              <w:left w:val="nil"/>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No change. Exclusion of studies including UA did not impact effect estimate</w:t>
            </w:r>
          </w:p>
        </w:tc>
        <w:tc>
          <w:tcPr>
            <w:tcW w:w="358" w:type="pct"/>
            <w:tcBorders>
              <w:top w:val="nil"/>
              <w:left w:val="nil"/>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Mark down one. Estimate&lt;1.2 and &gt;0.8</w:t>
            </w:r>
          </w:p>
        </w:tc>
        <w:tc>
          <w:tcPr>
            <w:tcW w:w="358" w:type="pct"/>
            <w:tcBorders>
              <w:top w:val="nil"/>
              <w:left w:val="nil"/>
              <w:bottom w:val="nil"/>
              <w:right w:val="single" w:sz="4" w:space="0" w:color="auto"/>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No change. No systematic difference in results b/ween small and larger studies.</w:t>
            </w:r>
          </w:p>
        </w:tc>
        <w:tc>
          <w:tcPr>
            <w:tcW w:w="304" w:type="pct"/>
            <w:tcBorders>
              <w:top w:val="nil"/>
              <w:left w:val="single" w:sz="4" w:space="0" w:color="auto"/>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Weak effect</w:t>
            </w:r>
          </w:p>
        </w:tc>
        <w:tc>
          <w:tcPr>
            <w:tcW w:w="308" w:type="pct"/>
            <w:tcBorders>
              <w:top w:val="nil"/>
              <w:left w:val="nil"/>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N/a</w:t>
            </w:r>
          </w:p>
        </w:tc>
        <w:tc>
          <w:tcPr>
            <w:tcW w:w="407" w:type="pct"/>
            <w:tcBorders>
              <w:top w:val="nil"/>
              <w:left w:val="nil"/>
              <w:bottom w:val="nil"/>
              <w:right w:val="single" w:sz="4" w:space="0" w:color="auto"/>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N/a</w:t>
            </w:r>
          </w:p>
        </w:tc>
        <w:tc>
          <w:tcPr>
            <w:tcW w:w="357" w:type="pct"/>
            <w:tcBorders>
              <w:top w:val="nil"/>
              <w:left w:val="single" w:sz="4" w:space="0" w:color="auto"/>
              <w:bottom w:val="nil"/>
              <w:right w:val="single" w:sz="4" w:space="0" w:color="auto"/>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Moderate</w:t>
            </w:r>
          </w:p>
        </w:tc>
      </w:tr>
      <w:tr w:rsidR="00465A5E" w:rsidRPr="00667EDE" w:rsidTr="00841DED">
        <w:trPr>
          <w:trHeight w:val="2700"/>
        </w:trPr>
        <w:tc>
          <w:tcPr>
            <w:tcW w:w="713" w:type="pct"/>
            <w:tcBorders>
              <w:top w:val="nil"/>
              <w:left w:val="single" w:sz="4" w:space="0" w:color="auto"/>
              <w:bottom w:val="nil"/>
              <w:right w:val="nil"/>
            </w:tcBorders>
            <w:shd w:val="clear" w:color="auto" w:fill="auto"/>
            <w:noWrap/>
            <w:vAlign w:val="center"/>
          </w:tcPr>
          <w:p w:rsidR="00465A5E" w:rsidRPr="00667EDE" w:rsidRDefault="00465A5E" w:rsidP="00841DED">
            <w:pPr>
              <w:spacing w:after="0" w:line="240" w:lineRule="auto"/>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CKD is associated with increased odds of receipt of CABG amongst people revascularised following STEMI</w:t>
            </w:r>
          </w:p>
        </w:tc>
        <w:tc>
          <w:tcPr>
            <w:tcW w:w="459" w:type="pct"/>
            <w:tcBorders>
              <w:top w:val="nil"/>
              <w:left w:val="single" w:sz="4" w:space="0" w:color="auto"/>
              <w:bottom w:val="nil"/>
              <w:right w:val="nil"/>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1.53 (1.27-1.83)</w:t>
            </w:r>
          </w:p>
        </w:tc>
        <w:tc>
          <w:tcPr>
            <w:tcW w:w="358" w:type="pct"/>
            <w:tcBorders>
              <w:top w:val="nil"/>
              <w:left w:val="nil"/>
              <w:bottom w:val="nil"/>
              <w:right w:val="nil"/>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2,735,922</w:t>
            </w:r>
          </w:p>
        </w:tc>
        <w:tc>
          <w:tcPr>
            <w:tcW w:w="256" w:type="pct"/>
            <w:tcBorders>
              <w:top w:val="nil"/>
              <w:left w:val="nil"/>
              <w:bottom w:val="nil"/>
              <w:right w:val="single" w:sz="4" w:space="0" w:color="auto"/>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6</w:t>
            </w:r>
          </w:p>
        </w:tc>
        <w:tc>
          <w:tcPr>
            <w:tcW w:w="356" w:type="pct"/>
            <w:tcBorders>
              <w:top w:val="nil"/>
              <w:left w:val="single" w:sz="4" w:space="0" w:color="auto"/>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No change. Major systematic bias is dialysis pop - marked down in indirectness</w:t>
            </w:r>
          </w:p>
        </w:tc>
        <w:tc>
          <w:tcPr>
            <w:tcW w:w="409" w:type="pct"/>
            <w:tcBorders>
              <w:top w:val="nil"/>
              <w:left w:val="nil"/>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No change</w:t>
            </w:r>
          </w:p>
        </w:tc>
        <w:tc>
          <w:tcPr>
            <w:tcW w:w="357" w:type="pct"/>
            <w:tcBorders>
              <w:top w:val="nil"/>
              <w:left w:val="nil"/>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Mark down one. 4/6 studies refer to dialysis v non-dialysis pop, however exclusion of such papers made little difference to effect estimate.</w:t>
            </w:r>
          </w:p>
        </w:tc>
        <w:tc>
          <w:tcPr>
            <w:tcW w:w="358" w:type="pct"/>
            <w:tcBorders>
              <w:top w:val="nil"/>
              <w:left w:val="nil"/>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No change.</w:t>
            </w:r>
          </w:p>
        </w:tc>
        <w:tc>
          <w:tcPr>
            <w:tcW w:w="358" w:type="pct"/>
            <w:tcBorders>
              <w:top w:val="nil"/>
              <w:left w:val="nil"/>
              <w:bottom w:val="nil"/>
              <w:right w:val="single" w:sz="4" w:space="0" w:color="auto"/>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No change. No systematic difference in results b/ween small and larger studies.</w:t>
            </w:r>
          </w:p>
        </w:tc>
        <w:tc>
          <w:tcPr>
            <w:tcW w:w="304" w:type="pct"/>
            <w:tcBorders>
              <w:top w:val="nil"/>
              <w:left w:val="single" w:sz="4" w:space="0" w:color="auto"/>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Moderate effect</w:t>
            </w:r>
          </w:p>
        </w:tc>
        <w:tc>
          <w:tcPr>
            <w:tcW w:w="308" w:type="pct"/>
            <w:tcBorders>
              <w:top w:val="nil"/>
              <w:left w:val="nil"/>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N/a</w:t>
            </w:r>
          </w:p>
        </w:tc>
        <w:tc>
          <w:tcPr>
            <w:tcW w:w="407" w:type="pct"/>
            <w:tcBorders>
              <w:top w:val="nil"/>
              <w:left w:val="nil"/>
              <w:bottom w:val="nil"/>
              <w:right w:val="single" w:sz="4" w:space="0" w:color="auto"/>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N/a</w:t>
            </w:r>
          </w:p>
        </w:tc>
        <w:tc>
          <w:tcPr>
            <w:tcW w:w="357" w:type="pct"/>
            <w:tcBorders>
              <w:top w:val="nil"/>
              <w:left w:val="single" w:sz="4" w:space="0" w:color="auto"/>
              <w:bottom w:val="nil"/>
              <w:right w:val="single" w:sz="4" w:space="0" w:color="auto"/>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Moderate</w:t>
            </w:r>
          </w:p>
        </w:tc>
      </w:tr>
      <w:tr w:rsidR="00465A5E" w:rsidRPr="00667EDE" w:rsidTr="00841DED">
        <w:trPr>
          <w:trHeight w:val="2040"/>
        </w:trPr>
        <w:tc>
          <w:tcPr>
            <w:tcW w:w="713" w:type="pct"/>
            <w:tcBorders>
              <w:top w:val="nil"/>
              <w:left w:val="single" w:sz="4" w:space="0" w:color="auto"/>
              <w:bottom w:val="nil"/>
              <w:right w:val="nil"/>
            </w:tcBorders>
            <w:shd w:val="clear" w:color="auto" w:fill="auto"/>
            <w:noWrap/>
            <w:vAlign w:val="center"/>
          </w:tcPr>
          <w:p w:rsidR="00465A5E" w:rsidRPr="00667EDE" w:rsidRDefault="00465A5E" w:rsidP="00841DED">
            <w:pPr>
              <w:spacing w:after="0" w:line="240" w:lineRule="auto"/>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CKD is associated with increased odds of receipt of CABG amongst people revascularised following ACS in people who do not receive dialysis</w:t>
            </w:r>
          </w:p>
        </w:tc>
        <w:tc>
          <w:tcPr>
            <w:tcW w:w="459" w:type="pct"/>
            <w:tcBorders>
              <w:top w:val="nil"/>
              <w:left w:val="single" w:sz="4" w:space="0" w:color="auto"/>
              <w:bottom w:val="nil"/>
              <w:right w:val="nil"/>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1.43 (1.24-1.64)</w:t>
            </w:r>
          </w:p>
        </w:tc>
        <w:tc>
          <w:tcPr>
            <w:tcW w:w="358" w:type="pct"/>
            <w:tcBorders>
              <w:top w:val="nil"/>
              <w:left w:val="nil"/>
              <w:bottom w:val="nil"/>
              <w:right w:val="nil"/>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2,201,863</w:t>
            </w:r>
          </w:p>
        </w:tc>
        <w:tc>
          <w:tcPr>
            <w:tcW w:w="256" w:type="pct"/>
            <w:tcBorders>
              <w:top w:val="nil"/>
              <w:left w:val="nil"/>
              <w:bottom w:val="nil"/>
              <w:right w:val="single" w:sz="4" w:space="0" w:color="auto"/>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5</w:t>
            </w:r>
          </w:p>
        </w:tc>
        <w:tc>
          <w:tcPr>
            <w:tcW w:w="356" w:type="pct"/>
            <w:tcBorders>
              <w:top w:val="nil"/>
              <w:left w:val="single" w:sz="4" w:space="0" w:color="auto"/>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No change. No systematic RoB in any domain.</w:t>
            </w:r>
          </w:p>
        </w:tc>
        <w:tc>
          <w:tcPr>
            <w:tcW w:w="409" w:type="pct"/>
            <w:tcBorders>
              <w:top w:val="nil"/>
              <w:left w:val="nil"/>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Mark down one. Estimates range 1.02-1.83 without clear explanation.</w:t>
            </w:r>
          </w:p>
        </w:tc>
        <w:tc>
          <w:tcPr>
            <w:tcW w:w="357" w:type="pct"/>
            <w:tcBorders>
              <w:top w:val="nil"/>
              <w:left w:val="nil"/>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 xml:space="preserve"> Mark down. 3/5 define CKD as CKD codes</w:t>
            </w:r>
          </w:p>
        </w:tc>
        <w:tc>
          <w:tcPr>
            <w:tcW w:w="358" w:type="pct"/>
            <w:tcBorders>
              <w:top w:val="nil"/>
              <w:left w:val="nil"/>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No change.</w:t>
            </w:r>
          </w:p>
        </w:tc>
        <w:tc>
          <w:tcPr>
            <w:tcW w:w="358" w:type="pct"/>
            <w:tcBorders>
              <w:top w:val="nil"/>
              <w:left w:val="nil"/>
              <w:bottom w:val="nil"/>
              <w:right w:val="single" w:sz="4" w:space="0" w:color="auto"/>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No change. Apparent bias towards greater effect estimates in small studies but note Lin has marked estimates for non-dialysis CKD but not for dialysis-dep CKD.</w:t>
            </w:r>
          </w:p>
        </w:tc>
        <w:tc>
          <w:tcPr>
            <w:tcW w:w="304" w:type="pct"/>
            <w:tcBorders>
              <w:top w:val="nil"/>
              <w:left w:val="single" w:sz="4" w:space="0" w:color="auto"/>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Modest effect</w:t>
            </w:r>
          </w:p>
        </w:tc>
        <w:tc>
          <w:tcPr>
            <w:tcW w:w="308" w:type="pct"/>
            <w:tcBorders>
              <w:top w:val="nil"/>
              <w:left w:val="nil"/>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N/a</w:t>
            </w:r>
          </w:p>
        </w:tc>
        <w:tc>
          <w:tcPr>
            <w:tcW w:w="407" w:type="pct"/>
            <w:tcBorders>
              <w:top w:val="nil"/>
              <w:left w:val="nil"/>
              <w:bottom w:val="nil"/>
              <w:right w:val="single" w:sz="4" w:space="0" w:color="auto"/>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N/a</w:t>
            </w:r>
          </w:p>
        </w:tc>
        <w:tc>
          <w:tcPr>
            <w:tcW w:w="357" w:type="pct"/>
            <w:tcBorders>
              <w:top w:val="nil"/>
              <w:left w:val="single" w:sz="4" w:space="0" w:color="auto"/>
              <w:bottom w:val="nil"/>
              <w:right w:val="single" w:sz="4" w:space="0" w:color="auto"/>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Low</w:t>
            </w:r>
          </w:p>
        </w:tc>
      </w:tr>
      <w:tr w:rsidR="00465A5E" w:rsidRPr="00667EDE" w:rsidTr="00841DED">
        <w:trPr>
          <w:trHeight w:val="1590"/>
        </w:trPr>
        <w:tc>
          <w:tcPr>
            <w:tcW w:w="713" w:type="pct"/>
            <w:tcBorders>
              <w:top w:val="nil"/>
              <w:left w:val="single" w:sz="4" w:space="0" w:color="auto"/>
              <w:bottom w:val="nil"/>
              <w:right w:val="nil"/>
            </w:tcBorders>
            <w:shd w:val="clear" w:color="auto" w:fill="auto"/>
            <w:noWrap/>
            <w:vAlign w:val="center"/>
          </w:tcPr>
          <w:p w:rsidR="00465A5E" w:rsidRPr="00667EDE" w:rsidRDefault="00465A5E" w:rsidP="00841DED">
            <w:pPr>
              <w:spacing w:after="0" w:line="240" w:lineRule="auto"/>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Dialysis-dependent CKD is associated with increased odds of receipt of CABG amongst people revascularised following ACS</w:t>
            </w:r>
          </w:p>
        </w:tc>
        <w:tc>
          <w:tcPr>
            <w:tcW w:w="459" w:type="pct"/>
            <w:tcBorders>
              <w:top w:val="nil"/>
              <w:left w:val="single" w:sz="4" w:space="0" w:color="auto"/>
              <w:bottom w:val="nil"/>
              <w:right w:val="nil"/>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1.31 (1.05-1.63)</w:t>
            </w:r>
          </w:p>
        </w:tc>
        <w:tc>
          <w:tcPr>
            <w:tcW w:w="358" w:type="pct"/>
            <w:tcBorders>
              <w:top w:val="nil"/>
              <w:left w:val="nil"/>
              <w:bottom w:val="nil"/>
              <w:right w:val="nil"/>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2,201,863</w:t>
            </w:r>
          </w:p>
        </w:tc>
        <w:tc>
          <w:tcPr>
            <w:tcW w:w="256" w:type="pct"/>
            <w:tcBorders>
              <w:top w:val="nil"/>
              <w:left w:val="nil"/>
              <w:bottom w:val="nil"/>
              <w:right w:val="single" w:sz="4" w:space="0" w:color="auto"/>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5</w:t>
            </w:r>
          </w:p>
        </w:tc>
        <w:tc>
          <w:tcPr>
            <w:tcW w:w="356" w:type="pct"/>
            <w:tcBorders>
              <w:top w:val="nil"/>
              <w:left w:val="single" w:sz="4" w:space="0" w:color="auto"/>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No change. No systematic RoB in any domain.</w:t>
            </w:r>
          </w:p>
        </w:tc>
        <w:tc>
          <w:tcPr>
            <w:tcW w:w="409" w:type="pct"/>
            <w:tcBorders>
              <w:top w:val="nil"/>
              <w:left w:val="nil"/>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Mark down. 3 studies v near null, other two marked effect estimates</w:t>
            </w:r>
          </w:p>
        </w:tc>
        <w:tc>
          <w:tcPr>
            <w:tcW w:w="357" w:type="pct"/>
            <w:tcBorders>
              <w:top w:val="nil"/>
              <w:left w:val="nil"/>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No change</w:t>
            </w:r>
          </w:p>
        </w:tc>
        <w:tc>
          <w:tcPr>
            <w:tcW w:w="358" w:type="pct"/>
            <w:tcBorders>
              <w:top w:val="nil"/>
              <w:left w:val="nil"/>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No change.</w:t>
            </w:r>
          </w:p>
        </w:tc>
        <w:tc>
          <w:tcPr>
            <w:tcW w:w="358" w:type="pct"/>
            <w:tcBorders>
              <w:top w:val="nil"/>
              <w:left w:val="nil"/>
              <w:bottom w:val="nil"/>
              <w:right w:val="single" w:sz="4" w:space="0" w:color="auto"/>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No change. No systematic difference in results b/ween small and larger studies.</w:t>
            </w:r>
          </w:p>
        </w:tc>
        <w:tc>
          <w:tcPr>
            <w:tcW w:w="304" w:type="pct"/>
            <w:tcBorders>
              <w:top w:val="nil"/>
              <w:left w:val="single" w:sz="4" w:space="0" w:color="auto"/>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Modest effect</w:t>
            </w:r>
          </w:p>
        </w:tc>
        <w:tc>
          <w:tcPr>
            <w:tcW w:w="308" w:type="pct"/>
            <w:tcBorders>
              <w:top w:val="nil"/>
              <w:left w:val="nil"/>
              <w:bottom w:val="nil"/>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No change</w:t>
            </w:r>
          </w:p>
        </w:tc>
        <w:tc>
          <w:tcPr>
            <w:tcW w:w="407" w:type="pct"/>
            <w:tcBorders>
              <w:top w:val="nil"/>
              <w:left w:val="nil"/>
              <w:bottom w:val="nil"/>
              <w:right w:val="single" w:sz="4" w:space="0" w:color="auto"/>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N/a</w:t>
            </w:r>
          </w:p>
        </w:tc>
        <w:tc>
          <w:tcPr>
            <w:tcW w:w="357" w:type="pct"/>
            <w:tcBorders>
              <w:top w:val="nil"/>
              <w:left w:val="single" w:sz="4" w:space="0" w:color="auto"/>
              <w:bottom w:val="nil"/>
              <w:right w:val="single" w:sz="4" w:space="0" w:color="auto"/>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Moderate</w:t>
            </w:r>
          </w:p>
        </w:tc>
      </w:tr>
      <w:tr w:rsidR="00465A5E" w:rsidRPr="00667EDE" w:rsidTr="00841DED">
        <w:trPr>
          <w:trHeight w:val="465"/>
        </w:trPr>
        <w:tc>
          <w:tcPr>
            <w:tcW w:w="713" w:type="pct"/>
            <w:tcBorders>
              <w:top w:val="nil"/>
              <w:left w:val="single" w:sz="4" w:space="0" w:color="auto"/>
              <w:bottom w:val="single" w:sz="4" w:space="0" w:color="auto"/>
              <w:right w:val="nil"/>
            </w:tcBorders>
            <w:shd w:val="clear" w:color="auto" w:fill="auto"/>
            <w:noWrap/>
            <w:vAlign w:val="bottom"/>
          </w:tcPr>
          <w:p w:rsidR="00465A5E" w:rsidRPr="00667EDE" w:rsidRDefault="00465A5E" w:rsidP="00841DED">
            <w:pPr>
              <w:spacing w:after="0" w:line="240" w:lineRule="auto"/>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 </w:t>
            </w:r>
          </w:p>
        </w:tc>
        <w:tc>
          <w:tcPr>
            <w:tcW w:w="459" w:type="pct"/>
            <w:tcBorders>
              <w:top w:val="nil"/>
              <w:left w:val="single" w:sz="4" w:space="0" w:color="auto"/>
              <w:bottom w:val="single" w:sz="4" w:space="0" w:color="auto"/>
              <w:right w:val="nil"/>
            </w:tcBorders>
            <w:shd w:val="clear" w:color="auto" w:fill="auto"/>
            <w:noWrap/>
            <w:vAlign w:val="bottom"/>
          </w:tcPr>
          <w:p w:rsidR="00465A5E" w:rsidRPr="00667EDE" w:rsidRDefault="00465A5E" w:rsidP="00841DED">
            <w:pPr>
              <w:spacing w:after="0" w:line="240" w:lineRule="auto"/>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 </w:t>
            </w:r>
          </w:p>
        </w:tc>
        <w:tc>
          <w:tcPr>
            <w:tcW w:w="358" w:type="pct"/>
            <w:tcBorders>
              <w:top w:val="nil"/>
              <w:left w:val="nil"/>
              <w:bottom w:val="single" w:sz="4" w:space="0" w:color="auto"/>
              <w:right w:val="nil"/>
            </w:tcBorders>
            <w:shd w:val="clear" w:color="auto" w:fill="auto"/>
            <w:noWrap/>
            <w:vAlign w:val="bottom"/>
          </w:tcPr>
          <w:p w:rsidR="00465A5E" w:rsidRPr="00667EDE" w:rsidRDefault="00465A5E" w:rsidP="00841DED">
            <w:pPr>
              <w:spacing w:after="0" w:line="240" w:lineRule="auto"/>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 </w:t>
            </w:r>
          </w:p>
        </w:tc>
        <w:tc>
          <w:tcPr>
            <w:tcW w:w="256" w:type="pct"/>
            <w:tcBorders>
              <w:top w:val="nil"/>
              <w:left w:val="nil"/>
              <w:bottom w:val="single" w:sz="4" w:space="0" w:color="auto"/>
              <w:right w:val="single" w:sz="4" w:space="0" w:color="auto"/>
            </w:tcBorders>
            <w:shd w:val="clear" w:color="auto" w:fill="auto"/>
            <w:noWrap/>
            <w:vAlign w:val="bottom"/>
          </w:tcPr>
          <w:p w:rsidR="00465A5E" w:rsidRPr="00667EDE" w:rsidRDefault="00465A5E" w:rsidP="00841DED">
            <w:pPr>
              <w:spacing w:after="0" w:line="240" w:lineRule="auto"/>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 </w:t>
            </w:r>
          </w:p>
        </w:tc>
        <w:tc>
          <w:tcPr>
            <w:tcW w:w="356" w:type="pct"/>
            <w:tcBorders>
              <w:top w:val="nil"/>
              <w:left w:val="single" w:sz="4" w:space="0" w:color="auto"/>
              <w:bottom w:val="single" w:sz="4" w:space="0" w:color="auto"/>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 </w:t>
            </w:r>
          </w:p>
        </w:tc>
        <w:tc>
          <w:tcPr>
            <w:tcW w:w="409" w:type="pct"/>
            <w:tcBorders>
              <w:top w:val="nil"/>
              <w:left w:val="nil"/>
              <w:bottom w:val="single" w:sz="4" w:space="0" w:color="auto"/>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 </w:t>
            </w:r>
          </w:p>
        </w:tc>
        <w:tc>
          <w:tcPr>
            <w:tcW w:w="357" w:type="pct"/>
            <w:tcBorders>
              <w:top w:val="nil"/>
              <w:left w:val="nil"/>
              <w:bottom w:val="single" w:sz="4" w:space="0" w:color="auto"/>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 </w:t>
            </w:r>
          </w:p>
        </w:tc>
        <w:tc>
          <w:tcPr>
            <w:tcW w:w="358" w:type="pct"/>
            <w:tcBorders>
              <w:top w:val="nil"/>
              <w:left w:val="nil"/>
              <w:bottom w:val="single" w:sz="4" w:space="0" w:color="auto"/>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 </w:t>
            </w:r>
          </w:p>
        </w:tc>
        <w:tc>
          <w:tcPr>
            <w:tcW w:w="358" w:type="pct"/>
            <w:tcBorders>
              <w:top w:val="nil"/>
              <w:left w:val="nil"/>
              <w:bottom w:val="single" w:sz="4" w:space="0" w:color="auto"/>
              <w:right w:val="single" w:sz="4" w:space="0" w:color="auto"/>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 </w:t>
            </w:r>
          </w:p>
        </w:tc>
        <w:tc>
          <w:tcPr>
            <w:tcW w:w="304" w:type="pct"/>
            <w:tcBorders>
              <w:top w:val="nil"/>
              <w:left w:val="single" w:sz="4" w:space="0" w:color="auto"/>
              <w:bottom w:val="single" w:sz="4" w:space="0" w:color="auto"/>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 </w:t>
            </w:r>
          </w:p>
        </w:tc>
        <w:tc>
          <w:tcPr>
            <w:tcW w:w="308" w:type="pct"/>
            <w:tcBorders>
              <w:top w:val="nil"/>
              <w:left w:val="nil"/>
              <w:bottom w:val="single" w:sz="4" w:space="0" w:color="auto"/>
              <w:right w:val="nil"/>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 </w:t>
            </w:r>
          </w:p>
        </w:tc>
        <w:tc>
          <w:tcPr>
            <w:tcW w:w="407" w:type="pct"/>
            <w:tcBorders>
              <w:top w:val="nil"/>
              <w:left w:val="nil"/>
              <w:bottom w:val="single" w:sz="4" w:space="0" w:color="auto"/>
              <w:right w:val="single" w:sz="4" w:space="0" w:color="auto"/>
            </w:tcBorders>
            <w:shd w:val="clear" w:color="auto" w:fill="auto"/>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 </w:t>
            </w:r>
          </w:p>
        </w:tc>
        <w:tc>
          <w:tcPr>
            <w:tcW w:w="357" w:type="pct"/>
            <w:tcBorders>
              <w:top w:val="nil"/>
              <w:left w:val="single" w:sz="4" w:space="0" w:color="auto"/>
              <w:bottom w:val="single" w:sz="4" w:space="0" w:color="auto"/>
              <w:right w:val="single" w:sz="4" w:space="0" w:color="auto"/>
            </w:tcBorders>
            <w:shd w:val="clear" w:color="auto" w:fill="auto"/>
            <w:noWrap/>
            <w:vAlign w:val="center"/>
          </w:tcPr>
          <w:p w:rsidR="00465A5E" w:rsidRPr="00667EDE" w:rsidRDefault="00465A5E" w:rsidP="00841DED">
            <w:pPr>
              <w:spacing w:after="0" w:line="240" w:lineRule="auto"/>
              <w:jc w:val="center"/>
              <w:rPr>
                <w:rFonts w:ascii="Calibri" w:eastAsia="Times New Roman" w:hAnsi="Calibri" w:cs="Calibri"/>
                <w:sz w:val="16"/>
                <w:szCs w:val="16"/>
                <w:lang w:eastAsia="en-GB"/>
              </w:rPr>
            </w:pPr>
            <w:r w:rsidRPr="00667EDE">
              <w:rPr>
                <w:rFonts w:ascii="Calibri" w:eastAsia="Times New Roman" w:hAnsi="Calibri" w:cs="Calibri"/>
                <w:sz w:val="16"/>
                <w:szCs w:val="16"/>
                <w:lang w:eastAsia="en-GB"/>
              </w:rPr>
              <w:t> </w:t>
            </w:r>
          </w:p>
        </w:tc>
      </w:tr>
    </w:tbl>
    <w:p w:rsidR="00F2703C" w:rsidRDefault="00465A5E">
      <w:r w:rsidRPr="00667EDE">
        <w:rPr>
          <w:sz w:val="18"/>
          <w:szCs w:val="18"/>
        </w:rPr>
        <w:t>We downgraded a starting rating of “high certainty” by one level for serious concerns in each domain or by two levels for very serious concerns. Differences in opinion between the two raters were resolved by discussion, or, where this was not possible, by involvement of a third rater. Outcomes were deemed to be imprecise if the effect estimate was between 0.80 and 1.20, as less than 20% risk reduction was not thought to be of clinical significance by the author group. Ratings of magnitude of effect were also determined by study group consensus (Supplementary Table 4).</w:t>
      </w:r>
    </w:p>
    <w:sectPr w:rsidR="00F2703C" w:rsidSect="007F3FBA">
      <w:pgSz w:w="16839" w:h="23814" w:code="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seFELayout/>
  </w:compat>
  <w:rsids>
    <w:rsidRoot w:val="007F3FBA"/>
    <w:rsid w:val="004049B7"/>
    <w:rsid w:val="00465A5E"/>
    <w:rsid w:val="007F3FBA"/>
    <w:rsid w:val="00F270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9B7"/>
  </w:style>
  <w:style w:type="paragraph" w:styleId="Heading2">
    <w:name w:val="heading 2"/>
    <w:basedOn w:val="Normal"/>
    <w:next w:val="Normal"/>
    <w:link w:val="Heading2Char"/>
    <w:uiPriority w:val="9"/>
    <w:unhideWhenUsed/>
    <w:qFormat/>
    <w:rsid w:val="00465A5E"/>
    <w:pPr>
      <w:keepNext/>
      <w:keepLines/>
      <w:spacing w:before="160" w:after="80" w:line="259" w:lineRule="auto"/>
      <w:outlineLvl w:val="1"/>
    </w:pPr>
    <w:rPr>
      <w:rFonts w:asciiTheme="majorHAnsi" w:eastAsiaTheme="majorEastAsia" w:hAnsiTheme="majorHAnsi" w:cstheme="majorBidi"/>
      <w:color w:val="365F91"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465A5E"/>
    <w:rPr>
      <w:rFonts w:asciiTheme="majorHAnsi" w:eastAsiaTheme="majorEastAsia" w:hAnsiTheme="majorHAnsi" w:cstheme="majorBidi"/>
      <w:color w:val="365F91" w:themeColor="accent1" w:themeShade="BF"/>
      <w:sz w:val="32"/>
      <w:szCs w:val="32"/>
      <w:lang w:val="en-GB"/>
    </w:rPr>
  </w:style>
  <w:style w:type="character" w:customStyle="1" w:styleId="SubtleReference1">
    <w:name w:val="Subtle Reference1"/>
    <w:basedOn w:val="DefaultParagraphFont"/>
    <w:uiPriority w:val="31"/>
    <w:qFormat/>
    <w:rsid w:val="00465A5E"/>
    <w:rPr>
      <w:smallCaps/>
      <w:color w:val="595959" w:themeColor="text1" w:themeTint="A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484</Words>
  <Characters>2765</Characters>
  <Application>Microsoft Office Word</Application>
  <DocSecurity>0</DocSecurity>
  <Lines>23</Lines>
  <Paragraphs>6</Paragraphs>
  <ScaleCrop>false</ScaleCrop>
  <Company/>
  <LinksUpToDate>false</LinksUpToDate>
  <CharactersWithSpaces>3243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3</cp:revision>
  <dcterms:created xsi:type="dcterms:W3CDTF">2024-11-28T11:33:00Z</dcterms:created>
  <dcterms:modified xsi:type="dcterms:W3CDTF">2024-11-28T11:37:00Z</dcterms:modified>
</cp:coreProperties>
</file>