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1F" w:rsidRPr="00667EDE" w:rsidRDefault="00E36B1F" w:rsidP="00E36B1F">
      <w:pPr>
        <w:pStyle w:val="Heading2"/>
        <w:spacing w:after="120"/>
        <w:rPr>
          <w:rStyle w:val="SubtleReference1"/>
          <w:smallCaps w:val="0"/>
          <w:color w:val="auto"/>
          <w:sz w:val="24"/>
          <w:szCs w:val="24"/>
          <w:lang w:val="en-US"/>
        </w:rPr>
      </w:pPr>
      <w:bookmarkStart w:id="0" w:name="_Toc182222092"/>
      <w:r w:rsidRPr="00667EDE">
        <w:rPr>
          <w:rStyle w:val="SubtleReference1"/>
          <w:b/>
          <w:bCs/>
          <w:color w:val="auto"/>
          <w:sz w:val="24"/>
          <w:szCs w:val="24"/>
        </w:rPr>
        <w:t>Suppl 13.</w:t>
      </w:r>
      <w:r w:rsidRPr="00667EDE">
        <w:rPr>
          <w:rStyle w:val="SubtleReference1"/>
          <w:color w:val="auto"/>
          <w:sz w:val="24"/>
          <w:szCs w:val="24"/>
        </w:rPr>
        <w:t xml:space="preserve"> Forest plot depicting meta-analysis of studies reporting receipt of cabg in people with versus without ckd, excluding those with serious or critical risk of bias</w:t>
      </w:r>
      <w:bookmarkEnd w:id="0"/>
    </w:p>
    <w:p w:rsidR="00E36B1F" w:rsidRPr="00667EDE" w:rsidRDefault="00E36B1F" w:rsidP="00E36B1F">
      <w:pPr>
        <w:spacing w:after="240"/>
        <w:rPr>
          <w:b/>
          <w:bCs/>
        </w:rPr>
      </w:pPr>
      <w:r w:rsidRPr="00667EDE">
        <w:rPr>
          <w:b/>
          <w:bCs/>
          <w:noProof/>
        </w:rPr>
        <w:drawing>
          <wp:inline distT="0" distB="0" distL="0" distR="0">
            <wp:extent cx="4279265" cy="3423285"/>
            <wp:effectExtent l="19050" t="19050" r="26035" b="24765"/>
            <wp:docPr id="6819029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02953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3839" cy="34351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7F3FBA"/>
    <w:rsid w:val="00AF3DDD"/>
    <w:rsid w:val="00E36B1F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DD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6B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E36B1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E36B1F"/>
    <w:rPr>
      <w:smallCaps/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B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2024-11-28T11:39:00Z</dcterms:modified>
</cp:coreProperties>
</file>