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FB55B" w14:textId="404EF525" w:rsidR="00447BB9" w:rsidRPr="00447BB9" w:rsidRDefault="00447BB9" w:rsidP="00447BB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</w:pPr>
      <w:r w:rsidRPr="00447BB9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 xml:space="preserve">Supplementary </w:t>
      </w:r>
      <w:r w:rsidRPr="00447BB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Material</w:t>
      </w:r>
    </w:p>
    <w:p w14:paraId="3E184C44" w14:textId="77777777" w:rsidR="00447BB9" w:rsidRDefault="00447BB9" w:rsidP="00447BB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98F3B" w14:textId="469E3306" w:rsidR="00447BB9" w:rsidRPr="0078650C" w:rsidRDefault="00447BB9" w:rsidP="00447BB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650C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uppl </w:t>
      </w:r>
      <w:r w:rsidRPr="0078650C">
        <w:rPr>
          <w:rFonts w:ascii="Times New Roman" w:hAnsi="Times New Roman" w:cs="Times New Roman"/>
          <w:b/>
          <w:bCs/>
          <w:sz w:val="24"/>
          <w:szCs w:val="24"/>
        </w:rPr>
        <w:t>1. Eligibility Criteria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41"/>
        <w:gridCol w:w="6355"/>
      </w:tblGrid>
      <w:tr w:rsidR="00447BB9" w:rsidRPr="0078650C" w14:paraId="0B2E6FAA" w14:textId="77777777" w:rsidTr="009B3C31">
        <w:tc>
          <w:tcPr>
            <w:tcW w:w="1170" w:type="pct"/>
          </w:tcPr>
          <w:p w14:paraId="2B488EC5" w14:textId="0DDC88CA" w:rsidR="00447BB9" w:rsidRPr="00900C80" w:rsidRDefault="00447BB9" w:rsidP="009B3C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C80">
              <w:rPr>
                <w:rFonts w:ascii="Times New Roman" w:hAnsi="Times New Roman" w:cs="Times New Roman"/>
                <w:sz w:val="24"/>
                <w:szCs w:val="24"/>
              </w:rPr>
              <w:t xml:space="preserve">Inclusion </w:t>
            </w:r>
            <w:r w:rsidR="00900C80" w:rsidRPr="00900C80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</w:t>
            </w:r>
            <w:r w:rsidRPr="00900C80">
              <w:rPr>
                <w:rFonts w:ascii="Times New Roman" w:hAnsi="Times New Roman" w:cs="Times New Roman"/>
                <w:sz w:val="24"/>
                <w:szCs w:val="24"/>
              </w:rPr>
              <w:t>riteria</w:t>
            </w:r>
          </w:p>
        </w:tc>
        <w:tc>
          <w:tcPr>
            <w:tcW w:w="3830" w:type="pct"/>
          </w:tcPr>
          <w:p w14:paraId="1999E839" w14:textId="77777777" w:rsidR="00447BB9" w:rsidRPr="0078650C" w:rsidRDefault="00447BB9" w:rsidP="009B3C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  <w:r w:rsidRPr="00786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fulfilling</w:t>
            </w:r>
            <w:r w:rsidRPr="007865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7865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following</w:t>
            </w:r>
            <w:r w:rsidRPr="00786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inclusion</w:t>
            </w:r>
            <w:r w:rsidRPr="007865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  <w:r w:rsidRPr="007865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786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eligible</w:t>
            </w:r>
            <w:r w:rsidRPr="007865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78650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7865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study:</w:t>
            </w:r>
          </w:p>
          <w:p w14:paraId="406E7F37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Males and Females more than 18 years of age. </w:t>
            </w:r>
          </w:p>
          <w:p w14:paraId="6A1336C5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Subjects who are able to give voluntary, written informed consent to participate in this clinical investigation and from whom consent has been obtained.</w:t>
            </w:r>
          </w:p>
          <w:p w14:paraId="7E2922F1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The subjects who have been treated with PCI and implantation of BioMime drug-eluting stent as a part of their treatment of coronary artery disease, without any further indication for emergent coronary artery bypass graft surgery.</w:t>
            </w:r>
          </w:p>
        </w:tc>
      </w:tr>
      <w:tr w:rsidR="00447BB9" w:rsidRPr="0078650C" w14:paraId="12BE5712" w14:textId="77777777" w:rsidTr="009B3C31">
        <w:tc>
          <w:tcPr>
            <w:tcW w:w="1170" w:type="pct"/>
          </w:tcPr>
          <w:p w14:paraId="0F7E86D5" w14:textId="032EC05C" w:rsidR="00447BB9" w:rsidRPr="00900C80" w:rsidRDefault="00447BB9" w:rsidP="009B3C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C80">
              <w:rPr>
                <w:rFonts w:ascii="Times New Roman" w:hAnsi="Times New Roman" w:cs="Times New Roman"/>
                <w:sz w:val="24"/>
                <w:szCs w:val="24"/>
              </w:rPr>
              <w:t xml:space="preserve">Exclusion </w:t>
            </w:r>
            <w:r w:rsidR="00900C80" w:rsidRPr="00900C80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</w:t>
            </w:r>
            <w:r w:rsidRPr="00900C80">
              <w:rPr>
                <w:rFonts w:ascii="Times New Roman" w:hAnsi="Times New Roman" w:cs="Times New Roman"/>
                <w:sz w:val="24"/>
                <w:szCs w:val="24"/>
              </w:rPr>
              <w:t>riteria</w:t>
            </w:r>
          </w:p>
        </w:tc>
        <w:tc>
          <w:tcPr>
            <w:tcW w:w="3830" w:type="pct"/>
          </w:tcPr>
          <w:p w14:paraId="04074418" w14:textId="77777777" w:rsidR="00447BB9" w:rsidRPr="0078650C" w:rsidRDefault="00447BB9" w:rsidP="009B3C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The presence of any one of the following exclusion criteria will lead to the exclusion of participant:</w:t>
            </w:r>
          </w:p>
          <w:p w14:paraId="25CBEE5D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Subjects who were not eligible for a PCI procedure or </w:t>
            </w:r>
          </w:p>
          <w:p w14:paraId="1B842E9E" w14:textId="77777777" w:rsidR="00447BB9" w:rsidRPr="0078650C" w:rsidRDefault="00447BB9" w:rsidP="009B3C31">
            <w:pPr>
              <w:pStyle w:val="a4"/>
              <w:widowControl w:val="0"/>
              <w:adjustRightInd w:val="0"/>
              <w:snapToGrid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who were candidates for urgent or planned elective coronary artery bypass surgery. </w:t>
            </w:r>
          </w:p>
          <w:p w14:paraId="38FD2C28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Subjects who are treated with stents other than BioMime. </w:t>
            </w:r>
          </w:p>
          <w:p w14:paraId="6393BC51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Subjects who have known sensitivity to Cobalt Chromium alloy, PLLA Polymer, Sirolimus, and its Analogues, Aspirin, Clopidogrel and analogues, and Contrast media. </w:t>
            </w:r>
          </w:p>
          <w:p w14:paraId="35AC5BB3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Subjects with a history of internal bleeding, planned Surgery (Cardiac or non-cardiac) or any similar reason that would restrict administration of dual antiplatelet therapy. </w:t>
            </w:r>
          </w:p>
          <w:p w14:paraId="3046A790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Pregnant/lactating women during index procedure. However, if pregnancy occurs during follow-ups, the subject will not be excluded.</w:t>
            </w:r>
          </w:p>
          <w:p w14:paraId="2197085F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Subjects with more than Grade III Renal Insufficiency as indicated by Creatinine &gt; 160 </w:t>
            </w:r>
            <w:proofErr w:type="spellStart"/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mcmol</w:t>
            </w:r>
            <w:proofErr w:type="spellEnd"/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/L.</w:t>
            </w:r>
          </w:p>
          <w:p w14:paraId="3A28DBCF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Unprotected Left Main Artery Lesion.</w:t>
            </w:r>
          </w:p>
          <w:p w14:paraId="4C856FFC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Subjects with involvement of Left Main Coronary Artery at its Ostium (Protected or unprotected). </w:t>
            </w:r>
          </w:p>
          <w:p w14:paraId="362603F1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Subjects with short life expectancy less than the trial duration of 2 years (including patients with cancer, HIV/AIDS), documented LVEF &lt;30%, history of Cardiac Failure, Structural heart Disease, Myocardiopathies, Arrhythmia or other Co-morbid conditions.</w:t>
            </w:r>
          </w:p>
          <w:p w14:paraId="6B7215E1" w14:textId="77777777" w:rsidR="00447BB9" w:rsidRPr="0078650C" w:rsidRDefault="00447BB9" w:rsidP="00447BB9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50C">
              <w:rPr>
                <w:rFonts w:ascii="Times New Roman" w:hAnsi="Times New Roman" w:cs="Times New Roman"/>
                <w:sz w:val="24"/>
                <w:szCs w:val="24"/>
              </w:rPr>
              <w:t xml:space="preserve">Subjects in who use of other interventional devices including a balloon outside the segment covered by the stent is required (including </w:t>
            </w:r>
            <w:proofErr w:type="spellStart"/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rotablation</w:t>
            </w:r>
            <w:proofErr w:type="spellEnd"/>
            <w:r w:rsidRPr="0078650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2B1F0A9B" w14:textId="25327A5A" w:rsidR="00447BB9" w:rsidRPr="0078650C" w:rsidRDefault="00447BB9" w:rsidP="00447BB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9E2D0" w14:textId="77777777" w:rsidR="00447BB9" w:rsidRDefault="00447BB9"/>
    <w:sectPr w:rsidR="00447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23683C"/>
    <w:multiLevelType w:val="multilevel"/>
    <w:tmpl w:val="5923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31366"/>
    <w:multiLevelType w:val="multilevel"/>
    <w:tmpl w:val="73431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9531172">
    <w:abstractNumId w:val="1"/>
  </w:num>
  <w:num w:numId="2" w16cid:durableId="47877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B9"/>
    <w:rsid w:val="004051E2"/>
    <w:rsid w:val="00447BB9"/>
    <w:rsid w:val="0090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0B8DB"/>
  <w15:chartTrackingRefBased/>
  <w15:docId w15:val="{E46BF4F2-54A5-41A8-9ADC-C89A0840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BB9"/>
    <w:pPr>
      <w:spacing w:after="160" w:line="259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47BB9"/>
    <w:rPr>
      <w:kern w:val="0"/>
      <w:sz w:val="20"/>
      <w:szCs w:val="20"/>
      <w:lang w:val="en-IN" w:eastAsia="en-IN" w:bidi="mr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2</cp:revision>
  <dcterms:created xsi:type="dcterms:W3CDTF">2024-11-10T13:03:00Z</dcterms:created>
  <dcterms:modified xsi:type="dcterms:W3CDTF">2024-11-10T13:04:00Z</dcterms:modified>
</cp:coreProperties>
</file>