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4A" w:rsidRPr="00C5748A" w:rsidRDefault="002A004A" w:rsidP="002A004A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718091"/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>Multiple joinpoint model HF and sepsis deaths by region. Region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stratified data regarding mortality rates related to HF and sepsis between 1999 and 2019. </w:t>
      </w:r>
    </w:p>
    <w:bookmarkEnd w:id="0"/>
    <w:p w:rsidR="002A004A" w:rsidRPr="00C5748A" w:rsidRDefault="002A004A" w:rsidP="002A004A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4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6815455" cy="4050665"/>
            <wp:effectExtent l="0" t="0" r="4445" b="635"/>
            <wp:docPr id="4" name="image5.png" descr="A graph with different colored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A graph with different colored line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5316" cy="408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BD1" w:rsidRDefault="00540BD1"/>
    <w:sectPr w:rsidR="00540B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2A004A"/>
    <w:rsid w:val="002A004A"/>
    <w:rsid w:val="0054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2024-12-14T22:52:00Z</dcterms:created>
  <dcterms:modified xsi:type="dcterms:W3CDTF">2024-12-14T22:53:00Z</dcterms:modified>
</cp:coreProperties>
</file>