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4BA" w:rsidRPr="009F7FC9" w:rsidRDefault="003E54BA" w:rsidP="003E54BA">
      <w:pPr>
        <w:widowControl w:val="0"/>
        <w:shd w:val="clear" w:color="auto" w:fill="FFFFFF" w:themeFill="background1"/>
        <w:adjustRightInd w:val="0"/>
        <w:snapToGrid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bookmarkStart w:id="0" w:name="_Hlk180401584"/>
    </w:p>
    <w:p w:rsidR="003E54BA" w:rsidRPr="009F7FC9" w:rsidRDefault="003E54BA" w:rsidP="003E54BA">
      <w:pPr>
        <w:widowControl w:val="0"/>
        <w:shd w:val="clear" w:color="auto" w:fill="FFFFFF" w:themeFill="background1"/>
        <w:adjustRightInd w:val="0"/>
        <w:snapToGrid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1C55C5">
        <w:rPr>
          <w:rFonts w:ascii="Times New Roman" w:hAnsi="Times New Roman" w:cs="Times New Roman"/>
          <w:b/>
          <w:bCs/>
          <w:snapToGrid w:val="0"/>
          <w:sz w:val="24"/>
          <w:szCs w:val="24"/>
        </w:rPr>
        <w:t>Supplementary Table 3.</w:t>
      </w:r>
      <w:r w:rsidRPr="009F7FC9">
        <w:rPr>
          <w:rFonts w:ascii="Times New Roman" w:hAnsi="Times New Roman" w:cs="Times New Roman"/>
          <w:snapToGrid w:val="0"/>
          <w:sz w:val="24"/>
          <w:szCs w:val="24"/>
        </w:rPr>
        <w:t xml:space="preserve"> Complex interactions between social determinants of health factors and clinical factors on overall survival</w:t>
      </w:r>
      <w:r>
        <w:rPr>
          <w:rFonts w:ascii="Times New Roman" w:hAnsi="Times New Roman" w:cs="Times New Roman" w:hint="eastAsia"/>
          <w:snapToGrid w:val="0"/>
          <w:sz w:val="24"/>
          <w:szCs w:val="24"/>
          <w:lang w:eastAsia="zh-CN"/>
        </w:rPr>
        <w:t>.</w:t>
      </w:r>
    </w:p>
    <w:tbl>
      <w:tblPr>
        <w:tblW w:w="5000" w:type="pct"/>
        <w:tblLook w:val="04A0"/>
      </w:tblPr>
      <w:tblGrid>
        <w:gridCol w:w="1021"/>
        <w:gridCol w:w="433"/>
        <w:gridCol w:w="433"/>
        <w:gridCol w:w="433"/>
        <w:gridCol w:w="611"/>
        <w:gridCol w:w="434"/>
        <w:gridCol w:w="434"/>
        <w:gridCol w:w="434"/>
        <w:gridCol w:w="611"/>
        <w:gridCol w:w="434"/>
        <w:gridCol w:w="434"/>
        <w:gridCol w:w="434"/>
        <w:gridCol w:w="611"/>
        <w:gridCol w:w="496"/>
        <w:gridCol w:w="434"/>
        <w:gridCol w:w="558"/>
        <w:gridCol w:w="611"/>
      </w:tblGrid>
      <w:tr w:rsidR="003E54BA" w:rsidRPr="00D64630" w:rsidTr="00BB6331">
        <w:trPr>
          <w:trHeight w:val="297"/>
        </w:trPr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bookmarkEnd w:id="0"/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 </w:t>
            </w:r>
          </w:p>
        </w:tc>
        <w:tc>
          <w:tcPr>
            <w:tcW w:w="10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napToGrid w:val="0"/>
                <w:sz w:val="24"/>
                <w:szCs w:val="24"/>
                <w:lang w:eastAsia="zh-CN"/>
              </w:rPr>
              <w:t>W</w:t>
            </w:r>
            <w:r w:rsidRPr="009F7FC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ith 6mwd</w:t>
            </w:r>
          </w:p>
        </w:tc>
        <w:tc>
          <w:tcPr>
            <w:tcW w:w="10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napToGrid w:val="0"/>
                <w:sz w:val="24"/>
                <w:szCs w:val="24"/>
                <w:lang w:eastAsia="zh-CN"/>
              </w:rPr>
              <w:t>W</w:t>
            </w:r>
            <w:r w:rsidRPr="009F7FC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ith mPAP</w:t>
            </w:r>
          </w:p>
        </w:tc>
        <w:tc>
          <w:tcPr>
            <w:tcW w:w="10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napToGrid w:val="0"/>
                <w:sz w:val="24"/>
                <w:szCs w:val="24"/>
                <w:lang w:eastAsia="zh-CN"/>
              </w:rPr>
              <w:t>W</w:t>
            </w:r>
            <w:r w:rsidRPr="009F7FC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ith CO</w:t>
            </w:r>
          </w:p>
        </w:tc>
        <w:tc>
          <w:tcPr>
            <w:tcW w:w="11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napToGrid w:val="0"/>
                <w:sz w:val="24"/>
                <w:szCs w:val="24"/>
                <w:lang w:eastAsia="zh-CN"/>
              </w:rPr>
              <w:t>W</w:t>
            </w:r>
            <w:r w:rsidRPr="009F7FC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ith WHO-FC</w:t>
            </w:r>
          </w:p>
        </w:tc>
      </w:tr>
      <w:tr w:rsidR="003E54BA" w:rsidRPr="00D64630" w:rsidTr="00BB6331">
        <w:trPr>
          <w:trHeight w:val="297"/>
        </w:trPr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HR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95%CI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p-value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HR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95%CI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p-value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HR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95%CI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p-value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HR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95%CI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p-value</w:t>
            </w:r>
          </w:p>
        </w:tc>
      </w:tr>
      <w:tr w:rsidR="003E54BA" w:rsidRPr="00D64630" w:rsidTr="00BB6331">
        <w:trPr>
          <w:trHeight w:val="297"/>
        </w:trPr>
        <w:tc>
          <w:tcPr>
            <w:tcW w:w="5000" w:type="pct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Age</w:t>
            </w:r>
          </w:p>
        </w:tc>
      </w:tr>
      <w:tr w:rsidR="003E54BA" w:rsidRPr="00D64630" w:rsidTr="00BB6331">
        <w:trPr>
          <w:trHeight w:val="297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Age</w:t>
            </w:r>
            <w:r>
              <w:rPr>
                <w:rFonts w:ascii="Times New Roman" w:hAnsi="Times New Roman" w:cs="Times New Roman" w:hint="eastAsia"/>
                <w:snapToGrid w:val="0"/>
                <w:sz w:val="24"/>
                <w:szCs w:val="24"/>
                <w:lang w:eastAsia="zh-CN"/>
              </w:rPr>
              <w:t xml:space="preserve"> </w:t>
            </w: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 w:hint="eastAsia"/>
                <w:snapToGrid w:val="0"/>
                <w:sz w:val="24"/>
                <w:szCs w:val="24"/>
                <w:lang w:eastAsia="zh-CN"/>
              </w:rPr>
              <w:t xml:space="preserve"> </w:t>
            </w: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0.99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0.99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&lt;0.001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1.05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0.018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0.73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0.56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0.95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0.017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13.34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1.82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98.04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0.011</w:t>
            </w:r>
          </w:p>
        </w:tc>
      </w:tr>
      <w:tr w:rsidR="003E54BA" w:rsidRPr="00D64630" w:rsidTr="00BB6331">
        <w:trPr>
          <w:trHeight w:val="297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Age</w:t>
            </w:r>
            <w:r>
              <w:rPr>
                <w:rFonts w:ascii="Times New Roman" w:hAnsi="Times New Roman" w:cs="Times New Roman" w:hint="eastAsia"/>
                <w:snapToGrid w:val="0"/>
                <w:sz w:val="24"/>
                <w:szCs w:val="24"/>
                <w:lang w:eastAsia="zh-CN"/>
              </w:rPr>
              <w:t xml:space="preserve"> </w:t>
            </w: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 w:hint="eastAsia"/>
                <w:snapToGrid w:val="0"/>
                <w:sz w:val="24"/>
                <w:szCs w:val="24"/>
                <w:lang w:eastAsia="zh-CN"/>
              </w:rPr>
              <w:t xml:space="preserve"> </w:t>
            </w: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60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0.99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0.99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0.99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&lt;0.001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1.06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0.028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0.69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0.52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0.90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0.006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11.44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1.56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83.96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0.017</w:t>
            </w:r>
          </w:p>
        </w:tc>
      </w:tr>
      <w:tr w:rsidR="003E54BA" w:rsidRPr="00D64630" w:rsidTr="00BB6331">
        <w:trPr>
          <w:trHeight w:val="297"/>
        </w:trPr>
        <w:tc>
          <w:tcPr>
            <w:tcW w:w="5000" w:type="pct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Sex</w:t>
            </w:r>
          </w:p>
        </w:tc>
      </w:tr>
      <w:tr w:rsidR="003E54BA" w:rsidRPr="00D64630" w:rsidTr="00BB6331">
        <w:trPr>
          <w:trHeight w:val="297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Female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0.99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0.99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&lt;0.001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1.01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1.06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0.015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0.68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0.52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0.89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0.005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12.74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1.74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93.08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0.012</w:t>
            </w:r>
          </w:p>
        </w:tc>
      </w:tr>
      <w:tr w:rsidR="003E54BA" w:rsidRPr="00D64630" w:rsidTr="00BB6331">
        <w:trPr>
          <w:trHeight w:val="297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Male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0.99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0.99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&lt;0.001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1.06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0.031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0.74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0.57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0.96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0.022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11.93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1.60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89.07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0.016</w:t>
            </w:r>
          </w:p>
        </w:tc>
      </w:tr>
      <w:tr w:rsidR="003E54BA" w:rsidRPr="00D64630" w:rsidTr="00BB6331">
        <w:trPr>
          <w:trHeight w:val="297"/>
        </w:trPr>
        <w:tc>
          <w:tcPr>
            <w:tcW w:w="5000" w:type="pct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Language </w:t>
            </w:r>
          </w:p>
        </w:tc>
      </w:tr>
      <w:tr w:rsidR="003E54BA" w:rsidRPr="00D64630" w:rsidTr="00BB6331">
        <w:trPr>
          <w:trHeight w:val="297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English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0.99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0.99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&lt;0.001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1.06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0.021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0.72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0.55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0.94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0.016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12.39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1.69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90.71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0.013</w:t>
            </w:r>
          </w:p>
        </w:tc>
      </w:tr>
      <w:tr w:rsidR="003E54BA" w:rsidRPr="00D64630" w:rsidTr="00BB6331">
        <w:trPr>
          <w:trHeight w:val="297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Spanish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0.99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0.99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0.99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&lt;0.001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1.05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0.70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0.54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0.90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0.007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12.29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1.67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90.67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0.014</w:t>
            </w:r>
          </w:p>
        </w:tc>
      </w:tr>
      <w:tr w:rsidR="003E54BA" w:rsidRPr="00D64630" w:rsidTr="00BB6331">
        <w:trPr>
          <w:trHeight w:val="297"/>
        </w:trPr>
        <w:tc>
          <w:tcPr>
            <w:tcW w:w="5000" w:type="pct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Marital Status</w:t>
            </w:r>
          </w:p>
        </w:tc>
      </w:tr>
      <w:tr w:rsidR="003E54BA" w:rsidRPr="00D64630" w:rsidTr="00BB6331">
        <w:trPr>
          <w:trHeight w:val="297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Relationship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0.99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0.99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0.99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&lt;0.001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1.02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1.05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0.108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0.61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0.44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0.83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0.002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10.15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1.36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75.81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0.024</w:t>
            </w:r>
          </w:p>
        </w:tc>
      </w:tr>
      <w:tr w:rsidR="003E54BA" w:rsidRPr="00D64630" w:rsidTr="00BB6331">
        <w:trPr>
          <w:trHeight w:val="297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Not relationship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0.99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0.99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&lt;0.001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1.05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0.018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0.75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0.59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0.96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0.022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13.32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1.82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97.30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0.011</w:t>
            </w:r>
          </w:p>
        </w:tc>
      </w:tr>
      <w:tr w:rsidR="003E54BA" w:rsidRPr="00D64630" w:rsidTr="00BB6331">
        <w:trPr>
          <w:trHeight w:val="297"/>
        </w:trPr>
        <w:tc>
          <w:tcPr>
            <w:tcW w:w="5000" w:type="pct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Insurance</w:t>
            </w:r>
          </w:p>
        </w:tc>
      </w:tr>
      <w:tr w:rsidR="003E54BA" w:rsidRPr="00D64630" w:rsidTr="00BB6331">
        <w:trPr>
          <w:trHeight w:val="297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Insured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0.99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0.99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0.99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&lt;0.001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1.02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0.99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1.04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0.249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0.62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0.48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0.81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&lt;0.001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9.45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1.27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70.08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0.028</w:t>
            </w:r>
          </w:p>
        </w:tc>
      </w:tr>
      <w:tr w:rsidR="003E54BA" w:rsidRPr="00D64630" w:rsidTr="00BB6331">
        <w:trPr>
          <w:trHeight w:val="297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Uninsured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0.99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0.99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&lt;0.001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1.01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1.06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0.006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0.85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0.67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1.08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0.181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14.74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2.02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107.70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0.008</w:t>
            </w:r>
          </w:p>
        </w:tc>
      </w:tr>
      <w:tr w:rsidR="003E54BA" w:rsidRPr="00D64630" w:rsidTr="00BB6331">
        <w:trPr>
          <w:trHeight w:val="297"/>
        </w:trPr>
        <w:tc>
          <w:tcPr>
            <w:tcW w:w="5000" w:type="pct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Employment</w:t>
            </w:r>
          </w:p>
        </w:tc>
      </w:tr>
      <w:tr w:rsidR="003E54BA" w:rsidRPr="00D64630" w:rsidTr="00BB6331">
        <w:trPr>
          <w:trHeight w:val="297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Unemployed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0.9</w:t>
            </w: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lastRenderedPageBreak/>
              <w:t>0.9</w:t>
            </w: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lastRenderedPageBreak/>
              <w:t>0.9</w:t>
            </w: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lastRenderedPageBreak/>
              <w:t>&lt;0.001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1.0</w:t>
            </w: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lastRenderedPageBreak/>
              <w:t>1.0</w:t>
            </w: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lastRenderedPageBreak/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lastRenderedPageBreak/>
              <w:t>1.0</w:t>
            </w: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lastRenderedPageBreak/>
              <w:t>0.049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0.7</w:t>
            </w: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lastRenderedPageBreak/>
              <w:t>0.5</w:t>
            </w: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lastRenderedPageBreak/>
              <w:t>0.9</w:t>
            </w: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lastRenderedPageBreak/>
              <w:t>0.008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11.8</w:t>
            </w: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lastRenderedPageBreak/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lastRenderedPageBreak/>
              <w:t>1.6</w:t>
            </w: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lastRenderedPageBreak/>
              <w:t>86.61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0.015</w:t>
            </w:r>
          </w:p>
        </w:tc>
      </w:tr>
      <w:tr w:rsidR="003E54BA" w:rsidRPr="00D64630" w:rsidTr="00BB6331">
        <w:trPr>
          <w:trHeight w:val="297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lastRenderedPageBreak/>
              <w:t>Employed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0.99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0.99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&lt;0.001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1.01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1.05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0.015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0.71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0.54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0.93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0.013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13.11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1.78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96.34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0.011</w:t>
            </w:r>
          </w:p>
        </w:tc>
      </w:tr>
      <w:tr w:rsidR="003E54BA" w:rsidRPr="00D64630" w:rsidTr="00BB6331">
        <w:trPr>
          <w:trHeight w:val="297"/>
        </w:trPr>
        <w:tc>
          <w:tcPr>
            <w:tcW w:w="5000" w:type="pct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Religious </w:t>
            </w:r>
          </w:p>
        </w:tc>
      </w:tr>
      <w:tr w:rsidR="003E54BA" w:rsidRPr="00D64630" w:rsidTr="00BB6331">
        <w:trPr>
          <w:trHeight w:val="297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Religious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0.99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0.99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0.99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&lt;0.001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1.00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1.05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0.029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0.71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0.55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0.90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0.006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11.83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1.61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86.84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0.015</w:t>
            </w:r>
          </w:p>
        </w:tc>
      </w:tr>
      <w:tr w:rsidR="003E54BA" w:rsidRPr="00D64630" w:rsidTr="00BB6331">
        <w:trPr>
          <w:trHeight w:val="297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Not religious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0.99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0.99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&lt;0.001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1.01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1.06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0.016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0.75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0.52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1.08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0.119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13.36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1.80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98.86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54BA" w:rsidRPr="009F7FC9" w:rsidRDefault="003E54BA" w:rsidP="00BB6331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F7FC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0.011</w:t>
            </w:r>
          </w:p>
        </w:tc>
      </w:tr>
    </w:tbl>
    <w:p w:rsidR="003E54BA" w:rsidRPr="00C96833" w:rsidRDefault="003E54BA" w:rsidP="003E54BA">
      <w:pPr>
        <w:widowControl w:val="0"/>
        <w:shd w:val="clear" w:color="auto" w:fill="FFFFFF" w:themeFill="background1"/>
        <w:adjustRightInd w:val="0"/>
        <w:snapToGrid w:val="0"/>
        <w:spacing w:after="0" w:line="240" w:lineRule="auto"/>
        <w:rPr>
          <w:rStyle w:val="SubtleEmphasis1"/>
          <w:rFonts w:ascii="Times New Roman" w:hAnsi="Times New Roman" w:cs="Times New Roman"/>
          <w:i w:val="0"/>
          <w:iCs w:val="0"/>
          <w:snapToGrid w:val="0"/>
          <w:sz w:val="24"/>
          <w:szCs w:val="24"/>
        </w:rPr>
      </w:pPr>
      <w:r w:rsidRPr="00C96833">
        <w:rPr>
          <w:rStyle w:val="SubtleEmphasis1"/>
          <w:rFonts w:ascii="Times New Roman" w:hAnsi="Times New Roman" w:cs="Times New Roman"/>
          <w:snapToGrid w:val="0"/>
          <w:sz w:val="24"/>
          <w:szCs w:val="24"/>
        </w:rPr>
        <w:t>Data are presented as a hazard ratio (HR) with 95% confidence interval (CI) and p-value. WHO-FC: World Health Organization Functional Classification; 6mwd: six-minute walk distance; mPAP: mean pulmonary pressure; CO: cardiac output.</w:t>
      </w:r>
    </w:p>
    <w:p w:rsidR="00825741" w:rsidRDefault="00825741"/>
    <w:sectPr w:rsidR="0082574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3E54BA"/>
    <w:rsid w:val="003E54BA"/>
    <w:rsid w:val="00825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tleEmphasis1">
    <w:name w:val="Subtle Emphasis1"/>
    <w:basedOn w:val="DefaultParagraphFont"/>
    <w:uiPriority w:val="19"/>
    <w:qFormat/>
    <w:rsid w:val="003E54BA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2025-04-14T21:58:00Z</dcterms:created>
  <dcterms:modified xsi:type="dcterms:W3CDTF">2025-04-14T21:58:00Z</dcterms:modified>
</cp:coreProperties>
</file>