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7B20" w14:textId="77777777" w:rsidR="003702C3" w:rsidRPr="00C46B34" w:rsidRDefault="003702C3" w:rsidP="003702C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824448" w14:textId="77777777" w:rsidR="003702C3" w:rsidRPr="00C46B34" w:rsidRDefault="003702C3" w:rsidP="003702C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C8246D6" w14:textId="77777777" w:rsidR="003702C3" w:rsidRPr="00C46B34" w:rsidRDefault="003702C3" w:rsidP="003702C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46B3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Suppl 1.</w:t>
      </w:r>
      <w:r w:rsidRPr="00C46B3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46B34">
        <w:rPr>
          <w:rFonts w:ascii="Times New Roman" w:hAnsi="Times New Roman" w:cs="Times New Roman"/>
        </w:rPr>
        <w:t>Scatter plot depicting the relationship between the change in mitral regurgitation severity—quantified by regurgitant volume (</w:t>
      </w:r>
      <w:proofErr w:type="gramStart"/>
      <w:r w:rsidRPr="00C46B34">
        <w:rPr>
          <w:rFonts w:ascii="Times New Roman" w:hAnsi="Times New Roman" w:cs="Times New Roman"/>
        </w:rPr>
        <w:t>ΔRV)—</w:t>
      </w:r>
      <w:proofErr w:type="gramEnd"/>
      <w:r w:rsidRPr="00C46B34">
        <w:rPr>
          <w:rFonts w:ascii="Times New Roman" w:hAnsi="Times New Roman" w:cs="Times New Roman"/>
        </w:rPr>
        <w:t>and the change in mean aortic transvalvular gradient (</w:t>
      </w:r>
      <w:proofErr w:type="spellStart"/>
      <w:r w:rsidRPr="00C46B34">
        <w:rPr>
          <w:rFonts w:ascii="Times New Roman" w:hAnsi="Times New Roman" w:cs="Times New Roman"/>
        </w:rPr>
        <w:t>ΔGradient</w:t>
      </w:r>
      <w:proofErr w:type="spellEnd"/>
      <w:r w:rsidRPr="00C46B34">
        <w:rPr>
          <w:rFonts w:ascii="Times New Roman" w:hAnsi="Times New Roman" w:cs="Times New Roman"/>
        </w:rPr>
        <w:t xml:space="preserve">) from immediately post-TAVI to 24 hours post-TAVI. Each point represents an individual patient with moderate-to-severe MR. Visual assessment using quantitative MR data demonstrates no clear correlation between ΔRV and </w:t>
      </w:r>
      <w:proofErr w:type="spellStart"/>
      <w:r w:rsidRPr="00C46B34">
        <w:rPr>
          <w:rFonts w:ascii="Times New Roman" w:hAnsi="Times New Roman" w:cs="Times New Roman"/>
        </w:rPr>
        <w:t>ΔGradient</w:t>
      </w:r>
      <w:proofErr w:type="spellEnd"/>
      <w:r w:rsidRPr="00C46B34">
        <w:rPr>
          <w:rFonts w:ascii="Times New Roman" w:hAnsi="Times New Roman" w:cs="Times New Roman"/>
        </w:rPr>
        <w:t>, suggesting that early post-procedural changes in transvalvular gradients are not significantly influenced by concurrent mitral regurgitation severity.</w:t>
      </w:r>
    </w:p>
    <w:p w14:paraId="5CE460EC" w14:textId="77777777" w:rsidR="003702C3" w:rsidRPr="00C46B34" w:rsidRDefault="003702C3" w:rsidP="003702C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46B34">
        <w:rPr>
          <w:rFonts w:ascii="Times New Roman" w:hAnsi="Times New Roman" w:cs="Times New Roman"/>
          <w:noProof/>
        </w:rPr>
        <w:drawing>
          <wp:inline distT="0" distB="0" distL="0" distR="0" wp14:anchorId="40672E34" wp14:editId="51644D04">
            <wp:extent cx="5410200" cy="3187700"/>
            <wp:effectExtent l="0" t="0" r="0" b="0"/>
            <wp:docPr id="500568305" name="Picture 1" descr="A graph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68305" name="Picture 1" descr="A graph with blue dot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34D3" w14:textId="77777777" w:rsidR="004F5CA0" w:rsidRDefault="004F5CA0"/>
    <w:sectPr w:rsidR="004F5CA0" w:rsidSect="003702C3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C426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8146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C3"/>
    <w:rsid w:val="00132527"/>
    <w:rsid w:val="003702C3"/>
    <w:rsid w:val="004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F8955"/>
  <w15:chartTrackingRefBased/>
  <w15:docId w15:val="{368F92D9-CB45-4058-AA55-BC60FBE5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2C3"/>
    <w:pPr>
      <w:spacing w:after="160" w:line="278" w:lineRule="auto"/>
    </w:pPr>
    <w:rPr>
      <w:rFonts w:eastAsia="SimSun"/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2C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2C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2C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2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2C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2C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2C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2C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2C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2C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C3"/>
    <w:rPr>
      <w:rFonts w:eastAsia="SimSun"/>
      <w:kern w:val="2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C3"/>
    <w:rPr>
      <w:rFonts w:eastAsia="SimSun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Grizli777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2025-07-20T03:18:00Z</dcterms:created>
  <dcterms:modified xsi:type="dcterms:W3CDTF">2025-07-20T03:18:00Z</dcterms:modified>
</cp:coreProperties>
</file>