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B2" w:rsidRDefault="00982BB2" w:rsidP="00982BB2">
      <w:pPr>
        <w:spacing w:after="0"/>
        <w:rPr>
          <w:sz w:val="28"/>
          <w:szCs w:val="28"/>
        </w:rPr>
      </w:pPr>
    </w:p>
    <w:p w:rsidR="00982BB2" w:rsidRDefault="00982BB2" w:rsidP="00982BB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Suppl 7. </w:t>
      </w:r>
      <w:r>
        <w:rPr>
          <w:sz w:val="28"/>
          <w:szCs w:val="28"/>
        </w:rPr>
        <w:t>Long-term use of anticoagulants based on the CHA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DS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VASc score categories in index patients with and without cardiac amyloidosis. Labels show percentage of total patients in respective category</w:t>
      </w:r>
    </w:p>
    <w:p w:rsidR="00982BB2" w:rsidRDefault="00982BB2" w:rsidP="00982BB2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768030" cy="3505200"/>
            <wp:effectExtent l="0" t="0" r="0" b="0"/>
            <wp:docPr id="1394636329" name="image13.png" descr="A graph of a number of people with blue and orange ba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36329" name="image13.png" descr="A graph of a number of people with blue and orange bars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8030" cy="350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2BB2" w:rsidRDefault="00982BB2" w:rsidP="00982BB2">
      <w:pPr>
        <w:spacing w:after="0"/>
        <w:rPr>
          <w:sz w:val="28"/>
          <w:szCs w:val="28"/>
        </w:rPr>
      </w:pPr>
    </w:p>
    <w:p w:rsidR="00982BB2" w:rsidRDefault="00982BB2" w:rsidP="00982BB2">
      <w:pPr>
        <w:spacing w:after="0"/>
        <w:rPr>
          <w:b/>
          <w:sz w:val="28"/>
          <w:szCs w:val="28"/>
        </w:rPr>
      </w:pPr>
    </w:p>
    <w:p w:rsidR="0016756F" w:rsidRDefault="00982BB2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982BB2"/>
    <w:rsid w:val="001855EF"/>
    <w:rsid w:val="001C3DEE"/>
    <w:rsid w:val="002207C3"/>
    <w:rsid w:val="00331F01"/>
    <w:rsid w:val="003F15C8"/>
    <w:rsid w:val="0082299C"/>
    <w:rsid w:val="0082406F"/>
    <w:rsid w:val="009112AA"/>
    <w:rsid w:val="00982BB2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2025-09-22T06:44:00Z</dcterms:created>
  <dcterms:modified xsi:type="dcterms:W3CDTF">2025-09-22T06:44:00Z</dcterms:modified>
</cp:coreProperties>
</file>