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Suppl 9. </w:t>
      </w:r>
      <w:r>
        <w:rPr>
          <w:sz w:val="28"/>
          <w:szCs w:val="28"/>
        </w:rPr>
        <w:t>The total number of atrial fibrillation at index admissions with and without a concomitant diagnosis of cardiac amyloidosis from 2015 to 2019.</w:t>
      </w:r>
    </w:p>
    <w:p w:rsidR="00140265" w:rsidRDefault="00140265" w:rsidP="00140265">
      <w:pPr>
        <w:spacing w:after="0"/>
        <w:rPr>
          <w:sz w:val="28"/>
          <w:szCs w:val="28"/>
        </w:rPr>
      </w:pPr>
    </w:p>
    <w:tbl>
      <w:tblPr>
        <w:tblW w:w="744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05"/>
        <w:gridCol w:w="2775"/>
        <w:gridCol w:w="2460"/>
      </w:tblGrid>
      <w:tr w:rsidR="00140265" w:rsidTr="00E15485">
        <w:trPr>
          <w:jc w:val="center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Calendar Year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Amyloidosis (n, column %)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Amyloidosis (n, column %)</w:t>
            </w:r>
          </w:p>
        </w:tc>
      </w:tr>
      <w:tr w:rsidR="00140265" w:rsidTr="00E15485">
        <w:trPr>
          <w:jc w:val="center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581597 (4.9%)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 (4.6%)</w:t>
            </w:r>
          </w:p>
        </w:tc>
      </w:tr>
      <w:tr w:rsidR="00140265" w:rsidTr="00E15485">
        <w:trPr>
          <w:jc w:val="center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2634566 (22.3%)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4164 (18.4%)</w:t>
            </w:r>
          </w:p>
        </w:tc>
      </w:tr>
      <w:tr w:rsidR="00140265" w:rsidTr="00E15485">
        <w:trPr>
          <w:jc w:val="center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2794215 (23.6%)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4945 (21.8%)</w:t>
            </w:r>
          </w:p>
        </w:tc>
      </w:tr>
      <w:tr w:rsidR="00140265" w:rsidTr="00E15485">
        <w:trPr>
          <w:jc w:val="center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2880904 (24.3%)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5597 (24.7%)</w:t>
            </w:r>
          </w:p>
        </w:tc>
      </w:tr>
      <w:tr w:rsidR="00140265" w:rsidTr="00E15485">
        <w:trPr>
          <w:jc w:val="center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2946835 (24.9%)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40265" w:rsidRDefault="00140265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6935 (30.6%)</w:t>
            </w:r>
          </w:p>
        </w:tc>
      </w:tr>
    </w:tbl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</w:p>
    <w:p w:rsidR="00140265" w:rsidRDefault="00140265" w:rsidP="00140265">
      <w:pPr>
        <w:spacing w:after="0"/>
        <w:rPr>
          <w:sz w:val="28"/>
          <w:szCs w:val="28"/>
        </w:rPr>
      </w:pPr>
    </w:p>
    <w:p w:rsidR="0016756F" w:rsidRDefault="00140265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AA301C"/>
    <w:rsid w:val="00140265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A301C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2</cp:revision>
  <dcterms:created xsi:type="dcterms:W3CDTF">2025-09-22T06:44:00Z</dcterms:created>
  <dcterms:modified xsi:type="dcterms:W3CDTF">2025-09-22T06:44:00Z</dcterms:modified>
</cp:coreProperties>
</file>