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6E" w:rsidRDefault="00E71E6E" w:rsidP="00E71E6E">
      <w:pPr>
        <w:spacing w:after="0" w:line="240" w:lineRule="auto"/>
        <w:rPr>
          <w:b/>
          <w:sz w:val="28"/>
          <w:szCs w:val="28"/>
        </w:rPr>
      </w:pPr>
    </w:p>
    <w:p w:rsidR="00E71E6E" w:rsidRDefault="00E71E6E" w:rsidP="00E71E6E">
      <w:pPr>
        <w:spacing w:after="0" w:line="240" w:lineRule="auto"/>
        <w:rPr>
          <w:b/>
          <w:sz w:val="28"/>
          <w:szCs w:val="28"/>
        </w:rPr>
      </w:pPr>
    </w:p>
    <w:p w:rsidR="00E71E6E" w:rsidRDefault="00E71E6E" w:rsidP="00E71E6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Suppl 11.</w:t>
      </w:r>
      <w:r>
        <w:rPr>
          <w:sz w:val="28"/>
          <w:szCs w:val="28"/>
        </w:rPr>
        <w:t xml:space="preserve"> Major outcomes for index and readmitted AF patients with versus without amyloidosis</w:t>
      </w:r>
    </w:p>
    <w:p w:rsidR="00E71E6E" w:rsidRDefault="00E71E6E" w:rsidP="00E71E6E">
      <w:pPr>
        <w:spacing w:after="0" w:line="240" w:lineRule="auto"/>
        <w:rPr>
          <w:b/>
          <w:sz w:val="28"/>
          <w:szCs w:val="28"/>
        </w:rPr>
      </w:pPr>
    </w:p>
    <w:p w:rsidR="00E71E6E" w:rsidRDefault="00E71E6E" w:rsidP="00E71E6E">
      <w:pPr>
        <w:spacing w:after="0" w:line="240" w:lineRule="auto"/>
        <w:rPr>
          <w:b/>
          <w:sz w:val="28"/>
          <w:szCs w:val="28"/>
        </w:rPr>
      </w:pPr>
    </w:p>
    <w:tbl>
      <w:tblPr>
        <w:tblW w:w="90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190"/>
        <w:gridCol w:w="1005"/>
        <w:gridCol w:w="1155"/>
        <w:gridCol w:w="1350"/>
        <w:gridCol w:w="1005"/>
        <w:gridCol w:w="1380"/>
        <w:gridCol w:w="1005"/>
      </w:tblGrid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Index Admission Outcomes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uOR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p-value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aOR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p-value</w:t>
            </w:r>
          </w:p>
        </w:tc>
      </w:tr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 (7.3%)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010205"/>
                <w:sz w:val="28"/>
                <w:szCs w:val="28"/>
              </w:rPr>
              <w:t>565566 (4.8%)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1.578 (1.50-1.66)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1.41 (1.34-1.48)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 (4.9%)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332572 (2.8%)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1.781 (1.68-1.89)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1.78 (1.68-1.89)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Major Bleeding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 (4.3%)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236168 (2.0%)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2.23 (2.10-2.38)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 (1.97-2.24)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Intracranial hemorrhage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3253 (14.3%)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133269 (1.1%)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 (14.16-15.26)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 (13.91-15.01)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30-Day Readmission Outcomes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Unadjusted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p-value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aOR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p-value</w:t>
            </w:r>
          </w:p>
        </w:tc>
      </w:tr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 (7.3%)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010205"/>
                <w:sz w:val="28"/>
                <w:szCs w:val="28"/>
              </w:rPr>
              <w:t>227969 (5.4%)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1.343 (1.24-1.45)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 (1.19-1.40)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 (3.8%)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93025 (2.2%)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1.76 (1.58-1.96)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1.74 (1.56-1.94)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Major Bleeding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362 </w:t>
            </w:r>
            <w:r>
              <w:rPr>
                <w:sz w:val="28"/>
                <w:szCs w:val="28"/>
              </w:rPr>
              <w:lastRenderedPageBreak/>
              <w:t>(3.9%)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86850 </w:t>
            </w:r>
            <w:r>
              <w:rPr>
                <w:sz w:val="28"/>
                <w:szCs w:val="28"/>
              </w:rPr>
              <w:lastRenderedPageBreak/>
              <w:t>(2.1%)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1.93 (1.74-</w:t>
            </w:r>
            <w:r>
              <w:rPr>
                <w:sz w:val="28"/>
                <w:szCs w:val="28"/>
              </w:rPr>
              <w:lastRenderedPageBreak/>
              <w:t>2.15)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&lt;0.001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1.85 (1.67-</w:t>
            </w:r>
            <w:r>
              <w:rPr>
                <w:sz w:val="28"/>
                <w:szCs w:val="28"/>
              </w:rPr>
              <w:lastRenderedPageBreak/>
              <w:t>2.17)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&lt;0.001</w:t>
            </w:r>
          </w:p>
        </w:tc>
      </w:tr>
      <w:tr w:rsidR="00E71E6E" w:rsidTr="00E15485">
        <w:trPr>
          <w:trHeight w:val="315"/>
          <w:jc w:val="center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Intracranial hemorrhage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 (3.9%)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38001 (0.9%)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4.53 (4.08-5.03)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4.26 (3.83-4.73)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1E6E" w:rsidRDefault="00E71E6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</w:tbl>
    <w:p w:rsidR="00E71E6E" w:rsidRDefault="00E71E6E" w:rsidP="00E71E6E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E71E6E" w:rsidRDefault="00E71E6E" w:rsidP="00E71E6E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0" w:name="_heading=h.bz7zzvfhqnv8" w:colFirst="0" w:colLast="0"/>
      <w:bookmarkEnd w:id="0"/>
    </w:p>
    <w:p w:rsidR="00E71E6E" w:rsidRDefault="00E71E6E" w:rsidP="00E71E6E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1" w:name="_heading=h.rkda7fzgxgb6" w:colFirst="0" w:colLast="0"/>
      <w:bookmarkEnd w:id="1"/>
      <w:r>
        <w:rPr>
          <w:sz w:val="28"/>
          <w:szCs w:val="28"/>
        </w:rPr>
        <w:t>Variables used in logistic regression models to obtain adjusted odds ratios included age, sex, risk of mortality, severity of illness and baseline characteristics mentioned in Table S2.</w:t>
      </w:r>
    </w:p>
    <w:p w:rsidR="00E71E6E" w:rsidRDefault="00E71E6E" w:rsidP="00E71E6E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2" w:name="_heading=h.ca0u6e211rje" w:colFirst="0" w:colLast="0"/>
      <w:bookmarkEnd w:id="2"/>
    </w:p>
    <w:p w:rsidR="0016756F" w:rsidRDefault="00E71E6E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E71E6E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  <w:rsid w:val="00E7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2025-09-22T06:45:00Z</dcterms:created>
  <dcterms:modified xsi:type="dcterms:W3CDTF">2025-09-22T06:45:00Z</dcterms:modified>
</cp:coreProperties>
</file>