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C1" w:rsidRDefault="00A906C1" w:rsidP="00A906C1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A906C1" w:rsidRDefault="00A906C1" w:rsidP="00A906C1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0" w:name="_heading=h.unceeaaz3nwg" w:colFirst="0" w:colLast="0"/>
      <w:bookmarkEnd w:id="0"/>
    </w:p>
    <w:p w:rsidR="00A906C1" w:rsidRDefault="00A906C1" w:rsidP="00A906C1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1" w:name="_heading=h.e4whnpxen69h" w:colFirst="0" w:colLast="0"/>
      <w:bookmarkStart w:id="2" w:name="_heading=h.a0hfzo18c81b" w:colFirst="0" w:colLast="0"/>
      <w:bookmarkStart w:id="3" w:name="_heading=h.oi0ft585g6fl" w:colFirst="0" w:colLast="0"/>
      <w:bookmarkStart w:id="4" w:name="_heading=h.bezxgxevpkxe" w:colFirst="0" w:colLast="0"/>
      <w:bookmarkStart w:id="5" w:name="_heading=h.187re0qk4knx" w:colFirst="0" w:colLast="0"/>
      <w:bookmarkStart w:id="6" w:name="_heading=h.9a9f8fq22bpu" w:colFirst="0" w:colLast="0"/>
      <w:bookmarkStart w:id="7" w:name="_heading=h.t992gomk53j7" w:colFirst="0" w:colLast="0"/>
      <w:bookmarkStart w:id="8" w:name="_heading=h.2oc9h6w5pk00" w:colFirst="0" w:colLast="0"/>
      <w:bookmarkStart w:id="9" w:name="_heading=h.rb5hilsxttb5" w:colFirst="0" w:colLast="0"/>
      <w:bookmarkStart w:id="10" w:name="_heading=h.tabq27yrzqo8" w:colFirst="0" w:colLast="0"/>
      <w:bookmarkStart w:id="11" w:name="_heading=h.7wbcueeonu5y" w:colFirst="0" w:colLast="0"/>
      <w:bookmarkStart w:id="12" w:name="_heading=h.svz1ulmgvz0r" w:colFirst="0" w:colLast="0"/>
      <w:bookmarkStart w:id="13" w:name="_heading=h.9bjrrab1v72j" w:colFirst="0" w:colLast="0"/>
      <w:bookmarkStart w:id="14" w:name="_heading=h.ccnejzmycqrd" w:colFirst="0" w:colLast="0"/>
      <w:bookmarkStart w:id="15" w:name="_heading=h.tixas6ni9bne" w:colFirst="0" w:colLast="0"/>
      <w:bookmarkStart w:id="16" w:name="_heading=h.dwap0jxobtxc" w:colFirst="0" w:colLast="0"/>
      <w:bookmarkStart w:id="17" w:name="_heading=h.bbr9almdmp2i" w:colFirst="0" w:colLast="0"/>
      <w:bookmarkStart w:id="18" w:name="_heading=h.1uvtc53jymlx" w:colFirst="0" w:colLast="0"/>
      <w:bookmarkStart w:id="19" w:name="_heading=h.swy34w26jsh9" w:colFirst="0" w:colLast="0"/>
      <w:bookmarkStart w:id="20" w:name="_heading=h.m7ji44oqjz75" w:colFirst="0" w:colLast="0"/>
      <w:bookmarkStart w:id="21" w:name="_heading=h.lj4nx356skww" w:colFirst="0" w:colLast="0"/>
      <w:bookmarkStart w:id="22" w:name="_heading=h.9tf0aw9fc7ol" w:colFirst="0" w:colLast="0"/>
      <w:bookmarkStart w:id="23" w:name="_heading=h.7nefxogghkzm" w:colFirst="0" w:colLast="0"/>
      <w:bookmarkStart w:id="24" w:name="_heading=h.vqu82s7qabpo" w:colFirst="0" w:colLast="0"/>
      <w:bookmarkStart w:id="25" w:name="_heading=h.ugia7p6zmo3t" w:colFirst="0" w:colLast="0"/>
      <w:bookmarkStart w:id="26" w:name="_heading=h.3lfkgs34jd4y" w:colFirst="0" w:colLast="0"/>
      <w:bookmarkStart w:id="27" w:name="_heading=h.ws6wat90akhg" w:colFirst="0" w:colLast="0"/>
      <w:bookmarkStart w:id="28" w:name="_heading=h.v2qa60241ode" w:colFirst="0" w:colLast="0"/>
      <w:bookmarkStart w:id="29" w:name="_heading=h.bwf9gnvjh42" w:colFirst="0" w:colLast="0"/>
      <w:bookmarkStart w:id="30" w:name="_heading=h.n5z07wkyhrbz" w:colFirst="0" w:colLast="0"/>
      <w:bookmarkStart w:id="31" w:name="_heading=h.53ao0n59f6wg" w:colFirst="0" w:colLast="0"/>
      <w:bookmarkStart w:id="32" w:name="_heading=h.35m95iw057p7" w:colFirst="0" w:colLast="0"/>
      <w:bookmarkStart w:id="33" w:name="_heading=h.hebv0wfdd0i4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b/>
          <w:sz w:val="28"/>
          <w:szCs w:val="28"/>
        </w:rPr>
        <w:t>Suppl 14.</w:t>
      </w:r>
      <w:r>
        <w:rPr>
          <w:sz w:val="28"/>
          <w:szCs w:val="28"/>
        </w:rPr>
        <w:t xml:space="preserve"> Frequency and estimates of index admission and 30-day readmission between CA-AF and no-CA-AF stratified by risk of stroke and long-term anticoagulation status (Percentages represent the percent of total index patients within respective CHA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DS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VASc risk, amyloidosis status, and anticoagulation status categories).</w:t>
      </w:r>
    </w:p>
    <w:p w:rsidR="00A906C1" w:rsidRDefault="00A906C1" w:rsidP="00A906C1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34" w:name="_heading=h.g15vprphh4dm" w:colFirst="0" w:colLast="0"/>
      <w:bookmarkEnd w:id="34"/>
      <w:r>
        <w:rPr>
          <w:sz w:val="28"/>
          <w:szCs w:val="28"/>
        </w:rPr>
        <w:t xml:space="preserve"> </w:t>
      </w:r>
    </w:p>
    <w:p w:rsidR="00A906C1" w:rsidRDefault="00A906C1" w:rsidP="00A906C1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35" w:name="_heading=h.a22bcwn06t7l" w:colFirst="0" w:colLast="0"/>
      <w:bookmarkEnd w:id="35"/>
    </w:p>
    <w:p w:rsidR="00A906C1" w:rsidRDefault="00A906C1" w:rsidP="00A906C1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36" w:name="_heading=h.etp24trp5dw" w:colFirst="0" w:colLast="0"/>
      <w:bookmarkEnd w:id="36"/>
    </w:p>
    <w:tbl>
      <w:tblPr>
        <w:tblW w:w="1021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35"/>
        <w:gridCol w:w="1035"/>
        <w:gridCol w:w="1020"/>
        <w:gridCol w:w="1020"/>
        <w:gridCol w:w="1365"/>
        <w:gridCol w:w="675"/>
        <w:gridCol w:w="1020"/>
        <w:gridCol w:w="1020"/>
        <w:gridCol w:w="1380"/>
        <w:gridCol w:w="645"/>
      </w:tblGrid>
      <w:tr w:rsidR="00A906C1" w:rsidTr="00E15485">
        <w:trPr>
          <w:trHeight w:val="200"/>
          <w:jc w:val="center"/>
        </w:trPr>
        <w:tc>
          <w:tcPr>
            <w:tcW w:w="10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Index AF Patients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080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On Long-term Anticoagulation</w:t>
            </w:r>
          </w:p>
        </w:tc>
        <w:tc>
          <w:tcPr>
            <w:tcW w:w="4065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 Long-term Anticoagulation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</w:t>
            </w:r>
            <w:r>
              <w:rPr>
                <w:b/>
                <w:sz w:val="28"/>
                <w:szCs w:val="28"/>
                <w:vertAlign w:val="subscript"/>
              </w:rPr>
              <w:t>2</w:t>
            </w:r>
            <w:r>
              <w:rPr>
                <w:b/>
                <w:sz w:val="28"/>
                <w:szCs w:val="28"/>
              </w:rPr>
              <w:t>DS</w:t>
            </w:r>
            <w:r>
              <w:rPr>
                <w:b/>
                <w:sz w:val="28"/>
                <w:szCs w:val="28"/>
                <w:vertAlign w:val="subscript"/>
              </w:rPr>
              <w:t>2</w:t>
            </w:r>
            <w:r>
              <w:rPr>
                <w:b/>
                <w:sz w:val="28"/>
                <w:szCs w:val="28"/>
              </w:rPr>
              <w:t>VASc Risk Category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Outcomes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Amyloidosis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Amyloidosis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Adjusted Odds Ratio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P-Value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2C4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Amyloidosis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2C4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Amyloidosis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2C4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Adjusted Odds Ratio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P-Value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Low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Mortality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(12.9%)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17514 (5.4%)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1.86 (1.08-3.22)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1294 (1.9%)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0.71 (0.11-4.6)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0.71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 (1.5%)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2.07 (1.01-4.23)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(0.0%)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 (1.4%)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Non-ICH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5689 (1.7%)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1.95 (1.01-3.82)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(0.0%)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 (2.0%)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(13.0%)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2661 (0.8%)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8.92 (5.4-14.53)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 (0.7%)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11.65 (4.21-32.2)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Medium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Mortality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 (10.7%)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38921 (4.6%)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1.45 (1.15-1.83)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0.02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(5.5%)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5225 (1.8%)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 (1.30-3.38)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0.02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(5.4%)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21109 (2.5%)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2.09 (1.59-2.73)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5938 (2.0%)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0.64 (0.29-1.41)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0.28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Non-ICH 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 (5.7%)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14918 (1.8%)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 (1.67-2.85)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(5.6%)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6082 (2.0%)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2.01 (1.36-2.98)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 (11.9%)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9615 (1.1%)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6.01 (4.83-7.47)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(9.5%)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3240 (1.1%)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5.64 (4.01-7.91)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High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Mortality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1169 (8.7%)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390860 (5.9%)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1.03 (1.0-1.11)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 (4.4%)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111751 (3.0%)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0.88 (0.78-1.01)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 (5.9%)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214058 (3.3%)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1.86 (1.73-1.99)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 (3.4%)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85552 (2.3%)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1.56 (0.74-1.90)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0.06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Non-ICH 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 (4.5%)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124546 (1.9%)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1.95 (1.79-2.11)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 (3.9%)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83574 (2.2%)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1.41 (1.25-1.59)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2053 (15.3%)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74030 (1.1%)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(11.42-12.73)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 (13.3%)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43237 (1.2%)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 (9.35-10.87)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</w:tr>
      <w:tr w:rsidR="00A906C1" w:rsidTr="00E15485">
        <w:trPr>
          <w:jc w:val="center"/>
        </w:trPr>
        <w:tc>
          <w:tcPr>
            <w:tcW w:w="10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Readmitted AF Patients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Low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Mortality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3120 (4.0%)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1.83 (0.87-3.85)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(0.0%)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 (2.3%)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 (1.2%)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0.86 (0.16-4.66)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0.87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(0.0%)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 (1.7%)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Non-ICH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 (2.1%)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1.46 (1.01-4.14)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(0.0%)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 (2.1%)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 (0.6%)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7.65 (3.07-19.1)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(0.0%)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 (0.7%)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Medium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Mortality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(6.5%)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10077 (4.3%)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2.28 (1.45-3.58)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 (2.3%)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1.39 (0.69-2.80)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0.35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  <w:r>
              <w:rPr>
                <w:sz w:val="28"/>
                <w:szCs w:val="28"/>
              </w:rPr>
              <w:lastRenderedPageBreak/>
              <w:t>(4.3%)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4052 </w:t>
            </w:r>
            <w:r>
              <w:rPr>
                <w:sz w:val="28"/>
                <w:szCs w:val="28"/>
              </w:rPr>
              <w:lastRenderedPageBreak/>
              <w:t>(1.7%)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2.31 (1.44-</w:t>
            </w:r>
            <w:r>
              <w:rPr>
                <w:sz w:val="28"/>
                <w:szCs w:val="28"/>
              </w:rPr>
              <w:lastRenderedPageBreak/>
              <w:t>3.70)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&lt;0.00</w:t>
            </w: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&lt;11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2740 </w:t>
            </w:r>
            <w:r>
              <w:rPr>
                <w:sz w:val="28"/>
                <w:szCs w:val="28"/>
              </w:rPr>
              <w:lastRenderedPageBreak/>
              <w:t>(2.4%)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0.74 (0.27-</w:t>
            </w:r>
            <w:r>
              <w:rPr>
                <w:sz w:val="28"/>
                <w:szCs w:val="28"/>
              </w:rPr>
              <w:lastRenderedPageBreak/>
              <w:t>1.99)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0.55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Non-ICH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(4.7%)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4986 (2.1%)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1.59 (0.95-2.68)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0.07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 (1.9%)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1.50 (1.1-3.00)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1880 (0.8%)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2.67 (1.41-5.07)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0.003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(0.0%)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 (0.9%)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High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Mortality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 (8.6%)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155547 (6.7%)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1.27 (1.16-1.40)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 (4.9%)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56089 (3.8%)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 (0.94-1.29)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0.22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 (4.2%)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49955 (2.2%)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1.94 (1.70-2.22)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 (3.3%)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34948 (2.4%)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 (0.94-1.47)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0.13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Non-ICH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 (4.5%)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48022 (2.1%)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 (1.88-2.44)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 (2.7%)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29567 (2.0%)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1.29 (1.04-1.60)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</w:t>
            </w:r>
          </w:p>
        </w:tc>
      </w:tr>
      <w:tr w:rsidR="00A906C1" w:rsidTr="00E15485">
        <w:trPr>
          <w:jc w:val="center"/>
        </w:trPr>
        <w:tc>
          <w:tcPr>
            <w:tcW w:w="103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 (5.3%)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22122 (1.0%)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5.43 (4.81-6.12)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(2.1%)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12315 (0.8%)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2.47 (1.93-3.15)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6C1" w:rsidRDefault="00A906C1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&lt;0.001</w:t>
            </w:r>
          </w:p>
        </w:tc>
      </w:tr>
    </w:tbl>
    <w:p w:rsidR="00A906C1" w:rsidRDefault="00A906C1" w:rsidP="00A906C1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37" w:name="_heading=h.9fm1d8s77tpw" w:colFirst="0" w:colLast="0"/>
      <w:bookmarkEnd w:id="37"/>
    </w:p>
    <w:p w:rsidR="00A906C1" w:rsidRDefault="00A906C1" w:rsidP="00A906C1">
      <w:pPr>
        <w:tabs>
          <w:tab w:val="left" w:pos="70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Variables used in logistic regression models to obtain adjusted odds ratios included age, sex, risk of mortality, severity of illness and baseline characteristics mentioned in Table S2.</w:t>
      </w:r>
    </w:p>
    <w:p w:rsidR="00A906C1" w:rsidRDefault="00A906C1" w:rsidP="00A906C1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16756F" w:rsidRDefault="00A906C1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A906C1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906C1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2025-09-22T06:46:00Z</dcterms:created>
  <dcterms:modified xsi:type="dcterms:W3CDTF">2025-09-22T06:46:00Z</dcterms:modified>
</cp:coreProperties>
</file>