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06" w:rsidRDefault="00D91906" w:rsidP="00D91906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D91906" w:rsidRDefault="00D91906" w:rsidP="00D91906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Suppl 16. </w:t>
      </w:r>
      <w:r>
        <w:rPr>
          <w:sz w:val="28"/>
          <w:szCs w:val="28"/>
        </w:rPr>
        <w:t>Estimated marginal means of ICH (A) and stroke (B) across amyloidosis status for index patients, stratified by anticoagulation use</w:t>
      </w:r>
    </w:p>
    <w:p w:rsidR="00D91906" w:rsidRDefault="00D91906" w:rsidP="00D91906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D91906" w:rsidRDefault="00D91906" w:rsidP="00D91906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b/>
          <w:sz w:val="28"/>
          <w:szCs w:val="28"/>
        </w:rPr>
        <w:t>B</w:t>
      </w:r>
    </w:p>
    <w:p w:rsidR="00D91906" w:rsidRDefault="00D91906" w:rsidP="00D91906">
      <w:pPr>
        <w:tabs>
          <w:tab w:val="left" w:pos="708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>
            <wp:extent cx="5760410" cy="2590800"/>
            <wp:effectExtent l="0" t="0" r="0" b="0"/>
            <wp:docPr id="1344088156" name="image1.png" descr="A graph of different types of lin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088156" name="image1.png" descr="A graph of different types of lines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59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1906" w:rsidRDefault="00D91906" w:rsidP="00D91906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D91906" w:rsidRDefault="00D91906" w:rsidP="00D91906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D91906" w:rsidRDefault="00D91906" w:rsidP="00D91906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D91906" w:rsidRDefault="00D91906" w:rsidP="00D91906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D91906" w:rsidRDefault="00D91906" w:rsidP="00D91906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D91906" w:rsidRDefault="00D91906" w:rsidP="00D91906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D91906" w:rsidRDefault="00D91906" w:rsidP="00D91906">
      <w:pPr>
        <w:tabs>
          <w:tab w:val="left" w:pos="7080"/>
        </w:tabs>
        <w:spacing w:after="0" w:line="240" w:lineRule="auto"/>
        <w:rPr>
          <w:sz w:val="28"/>
          <w:szCs w:val="28"/>
        </w:rPr>
      </w:pPr>
    </w:p>
    <w:p w:rsidR="0016756F" w:rsidRDefault="00D91906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D91906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  <w:rsid w:val="00D91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2025-09-22T06:46:00Z</dcterms:created>
  <dcterms:modified xsi:type="dcterms:W3CDTF">2025-09-22T06:46:00Z</dcterms:modified>
</cp:coreProperties>
</file>