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9A" w:rsidRDefault="00B9569A" w:rsidP="00B9569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B9569A" w:rsidRDefault="00B9569A" w:rsidP="00B9569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b633noo31n6v" w:colFirst="0" w:colLast="0"/>
      <w:bookmarkStart w:id="1" w:name="_heading=h.w99cooq8p41c" w:colFirst="0" w:colLast="0"/>
      <w:bookmarkStart w:id="2" w:name="_heading=h.n35udnk76o3z" w:colFirst="0" w:colLast="0"/>
      <w:bookmarkStart w:id="3" w:name="_heading=h.epy9m9zgyc6q" w:colFirst="0" w:colLast="0"/>
      <w:bookmarkStart w:id="4" w:name="_heading=h.jvv7fz73vlwp" w:colFirst="0" w:colLast="0"/>
      <w:bookmarkStart w:id="5" w:name="_heading=h.eom1jiyilrxh" w:colFirst="0" w:colLast="0"/>
      <w:bookmarkStart w:id="6" w:name="_heading=h.yeiwe0gozrci" w:colFirst="0" w:colLast="0"/>
      <w:bookmarkStart w:id="7" w:name="_heading=h.tlxfmqy9uhn0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28"/>
          <w:szCs w:val="28"/>
        </w:rPr>
        <w:t xml:space="preserve">Suppl 18. </w:t>
      </w:r>
      <w:r>
        <w:rPr>
          <w:sz w:val="28"/>
          <w:szCs w:val="28"/>
        </w:rPr>
        <w:t>Interaction analysis with 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two-way ANOVA demonstrates that amyloidosis status and anticoagulation status, as well as their interaction, have a statistically significant effect on the outcomes of stroke and intracranial hemorrhage for both index patients and readmitted patients. </w:t>
      </w:r>
    </w:p>
    <w:p w:rsidR="00B9569A" w:rsidRDefault="00B9569A" w:rsidP="00B9569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8" w:name="_heading=h.quwsj065su4t" w:colFirst="0" w:colLast="0"/>
      <w:bookmarkEnd w:id="8"/>
    </w:p>
    <w:tbl>
      <w:tblPr>
        <w:tblW w:w="9061" w:type="dxa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/>
      </w:tblPr>
      <w:tblGrid>
        <w:gridCol w:w="1111"/>
        <w:gridCol w:w="1531"/>
        <w:gridCol w:w="1290"/>
        <w:gridCol w:w="693"/>
        <w:gridCol w:w="780"/>
        <w:gridCol w:w="600"/>
        <w:gridCol w:w="977"/>
        <w:gridCol w:w="693"/>
        <w:gridCol w:w="693"/>
        <w:gridCol w:w="693"/>
      </w:tblGrid>
      <w:tr w:rsidR="00B9569A" w:rsidTr="00E15485">
        <w:trPr>
          <w:trHeight w:val="315"/>
          <w:jc w:val="center"/>
        </w:trPr>
        <w:tc>
          <w:tcPr>
            <w:tcW w:w="9061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Tests of Between-Subjects Effects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Admissions</w:t>
            </w:r>
          </w:p>
        </w:tc>
        <w:tc>
          <w:tcPr>
            <w:tcW w:w="305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30-day Readmissions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Dependent Variable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III Sum of Squares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 Square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Sig.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III Sum of Squares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 Square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Sig.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Corrected Model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195.461a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65.154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2391.97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9.069a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3.023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140.933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366.202b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122.067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10943.686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10.785b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3.595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406.716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Intercept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100.595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100.595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3693.109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27.673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27.673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1290.132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438.129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438.129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39279.532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1748.742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6.454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236.953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1.508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1.508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70.322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317.293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317.293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28446.206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621.859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Anticoagulation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5.597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5.597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205.473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0.121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0.121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5.628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0.018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2.068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2.068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185.428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2.131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2.131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241.094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Amyloidosis * Anticoagulation</w:t>
            </w: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1.426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1.426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52.353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  <w:tr w:rsidR="00B9569A" w:rsidTr="00E15485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2.207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  <w:tc>
          <w:tcPr>
            <w:tcW w:w="9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1.884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1.884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213.117</w:t>
            </w:r>
          </w:p>
        </w:tc>
        <w:tc>
          <w:tcPr>
            <w:tcW w:w="6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69A" w:rsidRDefault="00B9569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&lt;.001</w:t>
            </w:r>
          </w:p>
        </w:tc>
      </w:tr>
    </w:tbl>
    <w:p w:rsidR="00B9569A" w:rsidRDefault="00B9569A" w:rsidP="00B9569A">
      <w:pPr>
        <w:spacing w:after="0"/>
        <w:rPr>
          <w:b/>
          <w:sz w:val="28"/>
          <w:szCs w:val="28"/>
        </w:rPr>
      </w:pPr>
    </w:p>
    <w:p w:rsidR="0016756F" w:rsidRDefault="00B9569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B9569A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9569A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