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284" w:rsidRPr="00FC0458" w:rsidRDefault="001A2284" w:rsidP="001A2284">
      <w:pPr>
        <w:adjustRightInd w:val="0"/>
        <w:snapToGrid w:val="0"/>
        <w:rPr>
          <w:rFonts w:ascii="Times New Roman" w:eastAsia="Times New Roman" w:hAnsi="Times New Roman" w:cs="Times New Roman"/>
          <w:color w:val="000000" w:themeColor="text1"/>
        </w:rPr>
      </w:pPr>
    </w:p>
    <w:p w:rsidR="001A2284" w:rsidRPr="001D6728" w:rsidRDefault="001A2284" w:rsidP="001A2284">
      <w:pPr>
        <w:pStyle w:val="NormalWeb"/>
        <w:adjustRightInd w:val="0"/>
        <w:snapToGrid w:val="0"/>
        <w:rPr>
          <w:rFonts w:ascii="Times New Roman" w:eastAsia="Yu Gothic" w:hAnsi="Times New Roman" w:cs="Times New Roman"/>
          <w:b/>
          <w:bCs/>
          <w:color w:val="000000" w:themeColor="text1"/>
        </w:rPr>
      </w:pPr>
      <w:r w:rsidRPr="001D6728">
        <w:rPr>
          <w:rFonts w:ascii="Times New Roman" w:eastAsia="Yu Gothic" w:hAnsi="Times New Roman" w:cs="Times New Roman"/>
          <w:b/>
          <w:bCs/>
          <w:color w:val="000000" w:themeColor="text1"/>
        </w:rPr>
        <w:t>Suppl</w:t>
      </w:r>
      <w:r>
        <w:rPr>
          <w:rFonts w:ascii="Times New Roman" w:eastAsia="Yu Gothic" w:hAnsi="Times New Roman" w:cs="Times New Roman"/>
          <w:b/>
          <w:bCs/>
          <w:color w:val="000000" w:themeColor="text1"/>
        </w:rPr>
        <w:t xml:space="preserve"> 2</w:t>
      </w:r>
      <w:r w:rsidRPr="001D6728">
        <w:rPr>
          <w:rFonts w:ascii="Times New Roman" w:eastAsia="Yu Gothic" w:hAnsi="Times New Roman" w:cs="Times New Roman"/>
          <w:b/>
          <w:bCs/>
          <w:color w:val="000000" w:themeColor="text1"/>
        </w:rPr>
        <w:t xml:space="preserve">. </w:t>
      </w:r>
      <w:r w:rsidRPr="001D6728">
        <w:rPr>
          <w:rFonts w:ascii="Times New Roman" w:eastAsia="Yu Gothic" w:hAnsi="Times New Roman" w:cs="Times New Roman"/>
          <w:color w:val="000000" w:themeColor="text1"/>
        </w:rPr>
        <w:t>Procedure and fluoroscopic analysis on 2 left-1 right in cusp overlap or near- cusp overlap view</w:t>
      </w:r>
    </w:p>
    <w:tbl>
      <w:tblPr>
        <w:tblStyle w:val="PlainTable2"/>
        <w:tblW w:w="5000" w:type="pct"/>
        <w:tblLook w:val="04A0"/>
      </w:tblPr>
      <w:tblGrid>
        <w:gridCol w:w="4428"/>
        <w:gridCol w:w="4428"/>
      </w:tblGrid>
      <w:tr w:rsidR="001A2284" w:rsidRPr="001D6728" w:rsidTr="00E15485">
        <w:trPr>
          <w:cnfStyle w:val="100000000000"/>
          <w:trHeight w:val="360"/>
        </w:trPr>
        <w:tc>
          <w:tcPr>
            <w:cnfStyle w:val="001000000000"/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  <w:t>CT analysis</w:t>
            </w:r>
          </w:p>
        </w:tc>
        <w:tc>
          <w:tcPr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100000000000"/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</w:pPr>
          </w:p>
        </w:tc>
      </w:tr>
      <w:tr w:rsidR="001A2284" w:rsidRPr="001D6728" w:rsidTr="00E15485">
        <w:trPr>
          <w:cnfStyle w:val="000000100000"/>
          <w:trHeight w:val="360"/>
        </w:trPr>
        <w:tc>
          <w:tcPr>
            <w:cnfStyle w:val="001000000000"/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  <w:t>Average misalignment deviation, °</w:t>
            </w:r>
          </w:p>
        </w:tc>
        <w:tc>
          <w:tcPr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000000100000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color w:val="000000" w:themeColor="text1"/>
              </w:rPr>
              <w:t>16</w:t>
            </w:r>
            <w:r w:rsidRPr="001D6728">
              <w:rPr>
                <w:rFonts w:ascii="Times New Roman" w:eastAsia="Yu Gothic" w:hAnsi="Times New Roman" w:cs="Times New Roman"/>
                <w:color w:val="EE0000"/>
              </w:rPr>
              <w:t>.0</w:t>
            </w:r>
            <w:r w:rsidRPr="001D6728">
              <w:rPr>
                <w:rFonts w:ascii="Times New Roman" w:eastAsia="Yu Gothic" w:hAnsi="Times New Roman" w:cs="Times New Roman"/>
                <w:color w:val="000000" w:themeColor="text1"/>
              </w:rPr>
              <w:t xml:space="preserve"> (8</w:t>
            </w:r>
            <w:r w:rsidRPr="001D6728">
              <w:rPr>
                <w:rFonts w:ascii="Times New Roman" w:eastAsia="Yu Gothic" w:hAnsi="Times New Roman" w:cs="Times New Roman"/>
                <w:color w:val="EE0000"/>
              </w:rPr>
              <w:t>.0</w:t>
            </w:r>
            <w:r w:rsidRPr="001D6728">
              <w:rPr>
                <w:rFonts w:ascii="Times New Roman" w:eastAsia="Yu Gothic" w:hAnsi="Times New Roman" w:cs="Times New Roman"/>
                <w:color w:val="000000" w:themeColor="text1"/>
              </w:rPr>
              <w:t>-22</w:t>
            </w:r>
            <w:r w:rsidRPr="001D6728">
              <w:rPr>
                <w:rFonts w:ascii="Times New Roman" w:eastAsia="Yu Gothic" w:hAnsi="Times New Roman" w:cs="Times New Roman"/>
                <w:color w:val="EE0000"/>
              </w:rPr>
              <w:t>.0</w:t>
            </w:r>
            <w:r w:rsidRPr="001D6728">
              <w:rPr>
                <w:rFonts w:ascii="Times New Roman" w:eastAsia="Yu Gothic" w:hAnsi="Times New Roman" w:cs="Times New Roman"/>
                <w:color w:val="000000" w:themeColor="text1"/>
              </w:rPr>
              <w:t>)</w:t>
            </w:r>
          </w:p>
        </w:tc>
      </w:tr>
      <w:tr w:rsidR="001A2284" w:rsidRPr="001D6728" w:rsidTr="00E15485">
        <w:trPr>
          <w:trHeight w:val="360"/>
        </w:trPr>
        <w:tc>
          <w:tcPr>
            <w:cnfStyle w:val="001000000000"/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  <w:t>Commissural alignment category</w:t>
            </w:r>
          </w:p>
        </w:tc>
        <w:tc>
          <w:tcPr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000000000000"/>
              <w:rPr>
                <w:rFonts w:ascii="Times New Roman" w:eastAsia="Yu Gothic" w:hAnsi="Times New Roman" w:cs="Times New Roman"/>
                <w:color w:val="000000" w:themeColor="text1"/>
              </w:rPr>
            </w:pPr>
          </w:p>
        </w:tc>
      </w:tr>
      <w:tr w:rsidR="001A2284" w:rsidRPr="001D6728" w:rsidTr="00E15485">
        <w:trPr>
          <w:cnfStyle w:val="000000100000"/>
          <w:trHeight w:val="360"/>
        </w:trPr>
        <w:tc>
          <w:tcPr>
            <w:cnfStyle w:val="001000000000"/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  <w:t>Commissural alignment, n (%)</w:t>
            </w:r>
          </w:p>
        </w:tc>
        <w:tc>
          <w:tcPr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000000100000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color w:val="000000" w:themeColor="text1"/>
              </w:rPr>
              <w:t>8 (47%)</w:t>
            </w:r>
          </w:p>
        </w:tc>
      </w:tr>
      <w:tr w:rsidR="001A2284" w:rsidRPr="001D6728" w:rsidTr="00E15485">
        <w:trPr>
          <w:trHeight w:val="360"/>
        </w:trPr>
        <w:tc>
          <w:tcPr>
            <w:cnfStyle w:val="001000000000"/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  <w:t>Mild CMA, n (%)</w:t>
            </w:r>
          </w:p>
        </w:tc>
        <w:tc>
          <w:tcPr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000000000000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color w:val="000000" w:themeColor="text1"/>
              </w:rPr>
              <w:t>8 (47%)</w:t>
            </w:r>
          </w:p>
        </w:tc>
      </w:tr>
      <w:tr w:rsidR="001A2284" w:rsidRPr="001D6728" w:rsidTr="00E15485">
        <w:trPr>
          <w:cnfStyle w:val="000000100000"/>
          <w:trHeight w:val="360"/>
        </w:trPr>
        <w:tc>
          <w:tcPr>
            <w:cnfStyle w:val="001000000000"/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  <w:t>Moderate CMA, n (%)</w:t>
            </w:r>
          </w:p>
        </w:tc>
        <w:tc>
          <w:tcPr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000000100000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color w:val="000000" w:themeColor="text1"/>
              </w:rPr>
              <w:t>1 (6%)</w:t>
            </w:r>
          </w:p>
        </w:tc>
      </w:tr>
      <w:tr w:rsidR="001A2284" w:rsidRPr="001D6728" w:rsidTr="00E15485">
        <w:trPr>
          <w:trHeight w:val="360"/>
        </w:trPr>
        <w:tc>
          <w:tcPr>
            <w:cnfStyle w:val="001000000000"/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  <w:t>Severe CMA, n (%)</w:t>
            </w:r>
          </w:p>
        </w:tc>
        <w:tc>
          <w:tcPr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000000000000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color w:val="000000" w:themeColor="text1"/>
              </w:rPr>
              <w:t>0</w:t>
            </w:r>
          </w:p>
        </w:tc>
      </w:tr>
      <w:tr w:rsidR="001A2284" w:rsidRPr="001D6728" w:rsidTr="00E15485">
        <w:trPr>
          <w:cnfStyle w:val="000000100000"/>
          <w:trHeight w:val="360"/>
        </w:trPr>
        <w:tc>
          <w:tcPr>
            <w:cnfStyle w:val="001000000000"/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  <w:t>Fluoroscopic analysis</w:t>
            </w:r>
          </w:p>
        </w:tc>
        <w:tc>
          <w:tcPr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000000100000"/>
              <w:rPr>
                <w:rFonts w:ascii="Times New Roman" w:eastAsia="Yu Gothic" w:hAnsi="Times New Roman" w:cs="Times New Roman"/>
                <w:color w:val="000000" w:themeColor="text1"/>
              </w:rPr>
            </w:pPr>
          </w:p>
        </w:tc>
      </w:tr>
      <w:tr w:rsidR="001A2284" w:rsidRPr="001D6728" w:rsidTr="00E15485">
        <w:trPr>
          <w:trHeight w:val="360"/>
        </w:trPr>
        <w:tc>
          <w:tcPr>
            <w:cnfStyle w:val="001000000000"/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b w:val="0"/>
                <w:bCs w:val="0"/>
                <w:color w:val="EE0000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EE0000"/>
              </w:rPr>
              <w:t>Final C-tab orientation</w:t>
            </w:r>
          </w:p>
        </w:tc>
        <w:tc>
          <w:tcPr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000000000000"/>
              <w:rPr>
                <w:rFonts w:ascii="Times New Roman" w:eastAsia="Yu Gothic" w:hAnsi="Times New Roman" w:cs="Times New Roman"/>
                <w:color w:val="EE0000"/>
              </w:rPr>
            </w:pPr>
          </w:p>
        </w:tc>
      </w:tr>
      <w:tr w:rsidR="001A2284" w:rsidRPr="001D6728" w:rsidTr="00E15485">
        <w:trPr>
          <w:cnfStyle w:val="000000100000"/>
          <w:trHeight w:val="360"/>
        </w:trPr>
        <w:tc>
          <w:tcPr>
            <w:cnfStyle w:val="001000000000"/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b w:val="0"/>
                <w:bCs w:val="0"/>
                <w:color w:val="EE0000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EE0000"/>
              </w:rPr>
              <w:t xml:space="preserve"> Inner Curve</w:t>
            </w:r>
          </w:p>
        </w:tc>
        <w:tc>
          <w:tcPr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000000100000"/>
              <w:rPr>
                <w:rFonts w:ascii="Times New Roman" w:eastAsia="Yu Gothic" w:hAnsi="Times New Roman" w:cs="Times New Roman"/>
                <w:color w:val="EE0000"/>
              </w:rPr>
            </w:pPr>
            <w:r w:rsidRPr="001D6728">
              <w:rPr>
                <w:rFonts w:ascii="Times New Roman" w:eastAsia="Yu Gothic" w:hAnsi="Times New Roman" w:cs="Times New Roman"/>
                <w:color w:val="EE0000"/>
              </w:rPr>
              <w:t>16 (94%)</w:t>
            </w:r>
          </w:p>
        </w:tc>
      </w:tr>
      <w:tr w:rsidR="001A2284" w:rsidRPr="001D6728" w:rsidTr="00E15485">
        <w:trPr>
          <w:trHeight w:val="360"/>
        </w:trPr>
        <w:tc>
          <w:tcPr>
            <w:cnfStyle w:val="001000000000"/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b w:val="0"/>
                <w:bCs w:val="0"/>
                <w:color w:val="EE0000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EE0000"/>
              </w:rPr>
              <w:t xml:space="preserve"> Center Front</w:t>
            </w:r>
          </w:p>
        </w:tc>
        <w:tc>
          <w:tcPr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000000000000"/>
              <w:rPr>
                <w:rFonts w:ascii="Times New Roman" w:eastAsia="Yu Gothic" w:hAnsi="Times New Roman" w:cs="Times New Roman"/>
                <w:color w:val="EE0000"/>
              </w:rPr>
            </w:pPr>
            <w:r w:rsidRPr="001D6728">
              <w:rPr>
                <w:rFonts w:ascii="Times New Roman" w:eastAsia="Yu Gothic" w:hAnsi="Times New Roman" w:cs="Times New Roman"/>
                <w:color w:val="EE0000"/>
              </w:rPr>
              <w:t>0 (0%)</w:t>
            </w:r>
          </w:p>
        </w:tc>
      </w:tr>
      <w:tr w:rsidR="001A2284" w:rsidRPr="001D6728" w:rsidTr="00E15485">
        <w:trPr>
          <w:cnfStyle w:val="000000100000"/>
          <w:trHeight w:val="360"/>
        </w:trPr>
        <w:tc>
          <w:tcPr>
            <w:cnfStyle w:val="001000000000"/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b w:val="0"/>
                <w:bCs w:val="0"/>
                <w:color w:val="EE0000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EE0000"/>
              </w:rPr>
              <w:t xml:space="preserve"> Outer Curve</w:t>
            </w:r>
          </w:p>
        </w:tc>
        <w:tc>
          <w:tcPr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000000100000"/>
              <w:rPr>
                <w:rFonts w:ascii="Times New Roman" w:eastAsia="Yu Gothic" w:hAnsi="Times New Roman" w:cs="Times New Roman"/>
                <w:color w:val="EE0000"/>
              </w:rPr>
            </w:pPr>
            <w:r w:rsidRPr="001D6728">
              <w:rPr>
                <w:rFonts w:ascii="Times New Roman" w:eastAsia="Yu Gothic" w:hAnsi="Times New Roman" w:cs="Times New Roman"/>
                <w:color w:val="EE0000"/>
              </w:rPr>
              <w:t>1 (6%)</w:t>
            </w:r>
          </w:p>
        </w:tc>
      </w:tr>
      <w:tr w:rsidR="001A2284" w:rsidRPr="001D6728" w:rsidTr="00E15485">
        <w:trPr>
          <w:trHeight w:val="360"/>
        </w:trPr>
        <w:tc>
          <w:tcPr>
            <w:cnfStyle w:val="001000000000"/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b w:val="0"/>
                <w:bCs w:val="0"/>
                <w:color w:val="EE0000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EE0000"/>
              </w:rPr>
              <w:t xml:space="preserve"> Center Back</w:t>
            </w:r>
          </w:p>
        </w:tc>
        <w:tc>
          <w:tcPr>
            <w:tcW w:w="2500" w:type="pct"/>
            <w:noWrap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000000000000"/>
              <w:rPr>
                <w:rFonts w:ascii="Times New Roman" w:eastAsia="Yu Gothic" w:hAnsi="Times New Roman" w:cs="Times New Roman"/>
                <w:color w:val="EE0000"/>
              </w:rPr>
            </w:pPr>
            <w:r w:rsidRPr="001D6728">
              <w:rPr>
                <w:rFonts w:ascii="Times New Roman" w:eastAsia="Yu Gothic" w:hAnsi="Times New Roman" w:cs="Times New Roman"/>
                <w:color w:val="EE0000"/>
              </w:rPr>
              <w:t>0 (0%)</w:t>
            </w:r>
          </w:p>
        </w:tc>
      </w:tr>
      <w:tr w:rsidR="001A2284" w:rsidRPr="001D6728" w:rsidTr="00E15485">
        <w:trPr>
          <w:cnfStyle w:val="000000100000"/>
          <w:trHeight w:val="360"/>
        </w:trPr>
        <w:tc>
          <w:tcPr>
            <w:cnfStyle w:val="001000000000"/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b w:val="0"/>
                <w:bCs w:val="0"/>
                <w:color w:val="000000" w:themeColor="text1"/>
              </w:rPr>
              <w:t xml:space="preserve"> NPG</w:t>
            </w:r>
          </w:p>
        </w:tc>
        <w:tc>
          <w:tcPr>
            <w:tcW w:w="2500" w:type="pct"/>
            <w:noWrap/>
            <w:hideMark/>
          </w:tcPr>
          <w:p w:rsidR="001A2284" w:rsidRPr="001D6728" w:rsidRDefault="001A2284" w:rsidP="00E15485">
            <w:pPr>
              <w:adjustRightInd w:val="0"/>
              <w:snapToGrid w:val="0"/>
              <w:jc w:val="left"/>
              <w:cnfStyle w:val="000000100000"/>
              <w:rPr>
                <w:rFonts w:ascii="Times New Roman" w:eastAsia="Yu Gothic" w:hAnsi="Times New Roman" w:cs="Times New Roman"/>
                <w:color w:val="000000" w:themeColor="text1"/>
              </w:rPr>
            </w:pPr>
            <w:r w:rsidRPr="001D6728">
              <w:rPr>
                <w:rFonts w:ascii="Times New Roman" w:eastAsia="Yu Gothic" w:hAnsi="Times New Roman" w:cs="Times New Roman"/>
                <w:color w:val="000000" w:themeColor="text1"/>
              </w:rPr>
              <w:t>0.11 (0.06-0.20)</w:t>
            </w:r>
          </w:p>
        </w:tc>
      </w:tr>
    </w:tbl>
    <w:p w:rsidR="001A2284" w:rsidRPr="001D6728" w:rsidRDefault="001A2284" w:rsidP="001A2284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</w:p>
    <w:p w:rsidR="001A2284" w:rsidRPr="001D6728" w:rsidRDefault="001A2284" w:rsidP="001A2284">
      <w:pPr>
        <w:adjustRightInd w:val="0"/>
        <w:snapToGrid w:val="0"/>
        <w:rPr>
          <w:rFonts w:ascii="Times New Roman" w:hAnsi="Times New Roman" w:cs="Times New Roman"/>
          <w:color w:val="000000" w:themeColor="text1"/>
        </w:rPr>
      </w:pPr>
      <w:r w:rsidRPr="001D6728">
        <w:rPr>
          <w:rFonts w:ascii="Times New Roman" w:hAnsi="Times New Roman" w:cs="Times New Roman"/>
          <w:color w:val="000000" w:themeColor="text1"/>
        </w:rPr>
        <w:t>CT, computed tomography;</w:t>
      </w:r>
      <w:r w:rsidRPr="001D6728">
        <w:rPr>
          <w:rFonts w:ascii="Times New Roman" w:eastAsia="Times New Roman" w:hAnsi="Times New Roman" w:cs="Times New Roman"/>
          <w:color w:val="000000" w:themeColor="text1"/>
        </w:rPr>
        <w:t xml:space="preserve"> CMA, commissural misalignment; </w:t>
      </w:r>
      <w:r w:rsidRPr="001D6728">
        <w:rPr>
          <w:rFonts w:ascii="Times New Roman" w:hAnsi="Times New Roman" w:cs="Times New Roman"/>
          <w:color w:val="000000" w:themeColor="text1"/>
        </w:rPr>
        <w:t>NPG, native-prosthetic gap.</w:t>
      </w:r>
    </w:p>
    <w:p w:rsidR="0016756F" w:rsidRDefault="001A2284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MS Mincho"/>
    <w:charset w:val="80"/>
    <w:family w:val="roman"/>
    <w:pitch w:val="variable"/>
    <w:sig w:usb0="0000028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compat>
    <w:useFELayout/>
  </w:compat>
  <w:rsids>
    <w:rsidRoot w:val="001A2284"/>
    <w:rsid w:val="001855EF"/>
    <w:rsid w:val="001A2284"/>
    <w:rsid w:val="001C3DEE"/>
    <w:rsid w:val="002207C3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1A2284"/>
    <w:pPr>
      <w:widowControl w:val="0"/>
      <w:spacing w:after="0" w:line="240" w:lineRule="auto"/>
      <w:jc w:val="both"/>
    </w:pPr>
    <w:rPr>
      <w:rFonts w:ascii="Yu Mincho" w:eastAsia="Yu Mincho" w:hAnsi="Yu Mincho" w:cs="Yu Mincho"/>
      <w:sz w:val="21"/>
      <w:szCs w:val="21"/>
      <w:lang w:eastAsia="ja-JP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1A2284"/>
    <w:pPr>
      <w:spacing w:before="100" w:beforeAutospacing="1" w:after="100" w:afterAutospacing="1" w:line="240" w:lineRule="auto"/>
    </w:pPr>
    <w:rPr>
      <w:rFonts w:ascii="MS PGothic" w:eastAsia="MS PGothic" w:hAnsi="MS PGothic" w:cs="MS PGothic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2025-09-22T07:47:00Z</dcterms:created>
  <dcterms:modified xsi:type="dcterms:W3CDTF">2025-09-22T07:47:00Z</dcterms:modified>
</cp:coreProperties>
</file>