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0DED" w14:textId="77777777" w:rsidR="005B00B6" w:rsidRPr="00657295" w:rsidRDefault="005B00B6" w:rsidP="005B00B6">
      <w:pPr>
        <w:adjustRightInd w:val="0"/>
        <w:snapToGrid w:val="0"/>
        <w:rPr>
          <w:rFonts w:ascii="Times New Roman" w:hAnsi="Times New Roman" w:cs="Times New Roman"/>
        </w:rPr>
      </w:pPr>
    </w:p>
    <w:p w14:paraId="647EFC56" w14:textId="77777777" w:rsidR="005B00B6" w:rsidRPr="00657295" w:rsidRDefault="005B00B6" w:rsidP="005B00B6">
      <w:pPr>
        <w:adjustRightInd w:val="0"/>
        <w:snapToGrid w:val="0"/>
        <w:rPr>
          <w:rFonts w:ascii="Times New Roman" w:hAnsi="Times New Roman" w:cs="Times New Roman"/>
        </w:rPr>
      </w:pPr>
      <w:r w:rsidRPr="009523BA">
        <w:rPr>
          <w:rFonts w:ascii="Times New Roman" w:hAnsi="Times New Roman" w:cs="Times New Roman"/>
          <w:b/>
          <w:bCs/>
        </w:rPr>
        <w:t>Suppl 11.</w:t>
      </w:r>
      <w:r w:rsidRPr="00657295">
        <w:rPr>
          <w:rFonts w:ascii="Times New Roman" w:hAnsi="Times New Roman" w:cs="Times New Roman"/>
        </w:rPr>
        <w:t xml:space="preserve"> HRs (95% CIs) for mortality according to the CHG index quartiles in total cohorts (aged 18 to 85 years)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93"/>
        <w:gridCol w:w="1163"/>
        <w:gridCol w:w="1164"/>
        <w:gridCol w:w="1164"/>
        <w:gridCol w:w="1164"/>
        <w:gridCol w:w="1164"/>
        <w:gridCol w:w="1164"/>
        <w:gridCol w:w="1164"/>
        <w:gridCol w:w="1164"/>
        <w:gridCol w:w="1156"/>
      </w:tblGrid>
      <w:tr w:rsidR="005B00B6" w:rsidRPr="00030999" w14:paraId="39BD5D0F" w14:textId="77777777" w:rsidTr="00A400CC">
        <w:trPr>
          <w:tblHeader/>
          <w:jc w:val="center"/>
        </w:trPr>
        <w:tc>
          <w:tcPr>
            <w:tcW w:w="96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54C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134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E82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Model 1</w:t>
            </w:r>
          </w:p>
        </w:tc>
        <w:tc>
          <w:tcPr>
            <w:tcW w:w="134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F67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Model 2</w:t>
            </w:r>
          </w:p>
        </w:tc>
        <w:tc>
          <w:tcPr>
            <w:tcW w:w="134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B07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Model 3</w:t>
            </w:r>
          </w:p>
        </w:tc>
      </w:tr>
      <w:tr w:rsidR="005B00B6" w:rsidRPr="00030999" w14:paraId="0F2C8053" w14:textId="77777777" w:rsidTr="00A400CC">
        <w:trPr>
          <w:tblHeader/>
          <w:jc w:val="center"/>
        </w:trPr>
        <w:tc>
          <w:tcPr>
            <w:tcW w:w="96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D94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121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HR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381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95% CI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DEB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p-value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DED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HR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6EB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95% CI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2EF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p-value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84B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HR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CD3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95% CI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E9D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p-value</w:t>
            </w:r>
          </w:p>
        </w:tc>
      </w:tr>
      <w:tr w:rsidR="005B00B6" w:rsidRPr="00030999" w14:paraId="2F76F6F7" w14:textId="77777777" w:rsidTr="00A400CC">
        <w:trPr>
          <w:jc w:val="center"/>
        </w:trPr>
        <w:tc>
          <w:tcPr>
            <w:tcW w:w="96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B1D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All-cause mortality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509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7A82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BC5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641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BF2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C08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775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6552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54C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5B00B6" w:rsidRPr="00030999" w14:paraId="0072D6FF" w14:textId="77777777" w:rsidTr="00A400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1CB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CHG index (continuous)</w:t>
            </w:r>
          </w:p>
        </w:tc>
      </w:tr>
      <w:tr w:rsidR="005B00B6" w:rsidRPr="00030999" w14:paraId="74261F4D" w14:textId="77777777" w:rsidTr="00A400CC">
        <w:trPr>
          <w:jc w:val="center"/>
        </w:trPr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B18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78E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51B1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1.05-1.25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E55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25F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1.26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CCD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1.15-1.38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8EC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014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1.24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BA4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1.13-1.36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826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5B00B6" w:rsidRPr="00030999" w14:paraId="7A461A52" w14:textId="77777777" w:rsidTr="00A400CC">
        <w:trPr>
          <w:jc w:val="center"/>
        </w:trPr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B92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CHG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index 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8B8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6D7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9F3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B5C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7BD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0FC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CD8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D9D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A5B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5B00B6" w:rsidRPr="00030999" w14:paraId="0BB4F939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A882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Q1</w:t>
            </w:r>
          </w:p>
        </w:tc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72A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 (Reference)</w:t>
            </w:r>
          </w:p>
        </w:tc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01A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 (Reference)</w:t>
            </w:r>
          </w:p>
        </w:tc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2C9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 (Reference)</w:t>
            </w:r>
          </w:p>
        </w:tc>
      </w:tr>
      <w:tr w:rsidR="005B00B6" w:rsidRPr="00030999" w14:paraId="3403882A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BB0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B62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5E4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0.77-0.96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58C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0.009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D6D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CCB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0.75-0.94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880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0.003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4E5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0.85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1D7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0.76-0.95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6C5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0.004</w:t>
            </w:r>
          </w:p>
        </w:tc>
      </w:tr>
      <w:tr w:rsidR="005B00B6" w:rsidRPr="00030999" w14:paraId="7244A142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8F3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Q3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4622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5F71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0.73-0.91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4AC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&lt;0.001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1D7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428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0.73-0.92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240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&lt;0.001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614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BB7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0.72-0.91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6F32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&lt;0.001</w:t>
            </w:r>
          </w:p>
        </w:tc>
      </w:tr>
      <w:tr w:rsidR="005B00B6" w:rsidRPr="00030999" w14:paraId="63E00C03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67D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C7D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A04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0.97-1.19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F38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0.162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071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1.12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F74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1.00-1.25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B37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0.044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765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1.08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966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0.97-1.21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0E6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0.160</w:t>
            </w:r>
          </w:p>
        </w:tc>
      </w:tr>
      <w:tr w:rsidR="005B00B6" w:rsidRPr="00030999" w14:paraId="125B9647" w14:textId="77777777" w:rsidTr="00A400CC">
        <w:trPr>
          <w:jc w:val="center"/>
        </w:trPr>
        <w:tc>
          <w:tcPr>
            <w:tcW w:w="96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A85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CV mortality</w:t>
            </w: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852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0969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F6A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400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0A1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E641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138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A3B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BD2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B00B6" w:rsidRPr="00030999" w14:paraId="5DD46AB3" w14:textId="77777777" w:rsidTr="00A400CC">
        <w:trPr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E74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</w:rPr>
              <w:t>CHG index (continuous)</w:t>
            </w:r>
          </w:p>
        </w:tc>
      </w:tr>
      <w:tr w:rsidR="005B00B6" w:rsidRPr="00030999" w14:paraId="4526B52B" w14:textId="77777777" w:rsidTr="00A400CC">
        <w:trPr>
          <w:jc w:val="center"/>
        </w:trPr>
        <w:tc>
          <w:tcPr>
            <w:tcW w:w="9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E36C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</w:rPr>
            </w:pP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7E9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1.25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179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1.08-1.44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CB80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0.003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F0E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1.43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7EA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1.22-1.67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9C3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&lt;0.001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CC9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1.41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97F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1.21-1.65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003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&lt;0.001</w:t>
            </w:r>
          </w:p>
        </w:tc>
      </w:tr>
      <w:tr w:rsidR="005B00B6" w:rsidRPr="00030999" w14:paraId="4DC3CD83" w14:textId="77777777" w:rsidTr="00A400CC">
        <w:trPr>
          <w:jc w:val="center"/>
        </w:trPr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157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</w:rPr>
              <w:t>CHG</w:t>
            </w:r>
            <w:r w:rsidRPr="00657295">
              <w:rPr>
                <w:rFonts w:ascii="Times New Roman" w:hAnsi="Times New Roman" w:cs="Times New Roman"/>
                <w:b/>
                <w:color w:val="000000"/>
              </w:rPr>
              <w:t xml:space="preserve"> index </w:t>
            </w: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CD0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168D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01F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BD1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7236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E10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31A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62A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AD4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5B00B6" w:rsidRPr="00030999" w14:paraId="0B79B191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034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Q1</w:t>
            </w:r>
          </w:p>
        </w:tc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180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 (Reference)</w:t>
            </w:r>
          </w:p>
        </w:tc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939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 (Reference)</w:t>
            </w:r>
          </w:p>
        </w:tc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F9E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hAnsi="Times New Roman" w:cs="Times New Roman"/>
                <w:color w:val="000000"/>
              </w:rPr>
              <w:t>1 (Reference)</w:t>
            </w:r>
          </w:p>
        </w:tc>
      </w:tr>
      <w:tr w:rsidR="005B00B6" w:rsidRPr="00030999" w14:paraId="03253A99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C651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E591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EB3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0.69-1.02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09B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0.080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E442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A0F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0.67-1.00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7679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0.046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E4E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0.84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A5A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0.69-1.03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61D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0.089</w:t>
            </w:r>
          </w:p>
        </w:tc>
      </w:tr>
      <w:tr w:rsidR="005B00B6" w:rsidRPr="00030999" w14:paraId="4650E512" w14:textId="77777777" w:rsidTr="00A400CC">
        <w:trPr>
          <w:jc w:val="center"/>
        </w:trPr>
        <w:tc>
          <w:tcPr>
            <w:tcW w:w="962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B4DB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t>Q3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150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0.82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3B0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0.67-0.99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700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0.039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B43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31E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0.66-0.99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FEB4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0.035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F111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0.81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036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0.67-0.99</w:t>
            </w:r>
          </w:p>
        </w:tc>
        <w:tc>
          <w:tcPr>
            <w:tcW w:w="4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35CE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0.042</w:t>
            </w:r>
          </w:p>
        </w:tc>
      </w:tr>
      <w:tr w:rsidR="005B00B6" w:rsidRPr="00030999" w14:paraId="6262D61B" w14:textId="77777777" w:rsidTr="00A400CC">
        <w:trPr>
          <w:jc w:val="center"/>
        </w:trPr>
        <w:tc>
          <w:tcPr>
            <w:tcW w:w="962" w:type="pct"/>
            <w:tcBorders>
              <w:top w:val="nil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B71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Q4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8EC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1.13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1C38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0.95-1.35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6576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0.178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46E5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1.20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8FA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1.00-1.45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49BF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24"/>
              </w:rPr>
              <w:t>0.055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E7D3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1.18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4F6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0.98-1.42</w:t>
            </w:r>
          </w:p>
        </w:tc>
        <w:tc>
          <w:tcPr>
            <w:tcW w:w="449" w:type="pct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4D1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ngXian" w:hAnsi="Times New Roman" w:cs="Times New Roman"/>
                <w:color w:val="000000" w:themeColor="text1"/>
                <w:kern w:val="24"/>
              </w:rPr>
              <w:t>0.088</w:t>
            </w:r>
          </w:p>
        </w:tc>
      </w:tr>
    </w:tbl>
    <w:p w14:paraId="04BCA6B9" w14:textId="77777777" w:rsidR="005B00B6" w:rsidRPr="00657295" w:rsidRDefault="005B00B6" w:rsidP="005B00B6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65"/>
      </w:tblGrid>
      <w:tr w:rsidR="005B00B6" w:rsidRPr="00030999" w14:paraId="52E38DBA" w14:textId="77777777" w:rsidTr="00A400CC">
        <w:trPr>
          <w:trHeight w:val="344"/>
          <w:jc w:val="center"/>
        </w:trPr>
        <w:tc>
          <w:tcPr>
            <w:tcW w:w="13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C3AC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HR = Hazard Ratio, CI = Confidence Interval</w:t>
            </w:r>
          </w:p>
        </w:tc>
      </w:tr>
      <w:tr w:rsidR="005B00B6" w:rsidRPr="00030999" w14:paraId="416214D9" w14:textId="77777777" w:rsidTr="00A400CC">
        <w:trPr>
          <w:trHeight w:val="918"/>
          <w:jc w:val="center"/>
        </w:trPr>
        <w:tc>
          <w:tcPr>
            <w:tcW w:w="13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F627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57295">
              <w:rPr>
                <w:rFonts w:ascii="Times New Roman" w:hAnsi="Times New Roman" w:cs="Times New Roman"/>
              </w:rPr>
              <w:t>Model 1 : no covariates were adjusted</w:t>
            </w:r>
          </w:p>
          <w:p w14:paraId="4BB0315A" w14:textId="77777777" w:rsidR="005B00B6" w:rsidRPr="00657295" w:rsidRDefault="005B00B6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Model </w:t>
            </w:r>
            <w:r w:rsidRPr="00657295">
              <w:rPr>
                <w:rFonts w:ascii="Times New Roman" w:hAnsi="Times New Roman" w:cs="Times New Roman"/>
                <w:color w:val="000000"/>
              </w:rPr>
              <w:t>2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: Age, Race, Gende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r, Education level, and </w:t>
            </w:r>
            <w:r w:rsidRPr="00657295">
              <w:rPr>
                <w:rFonts w:ascii="Times New Roman" w:hAnsi="Times New Roman" w:cs="Times New Roman"/>
              </w:rPr>
              <w:t>family income-poverty ratio</w:t>
            </w:r>
            <w:r w:rsidRPr="00657295">
              <w:rPr>
                <w:rFonts w:ascii="Times New Roman" w:hAnsi="Times New Roman" w:cs="Times New Roman"/>
                <w:color w:val="000000"/>
              </w:rPr>
              <w:t>,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br/>
              <w:t xml:space="preserve">Model </w:t>
            </w:r>
            <w:r w:rsidRPr="00657295">
              <w:rPr>
                <w:rFonts w:ascii="Times New Roman" w:hAnsi="Times New Roman" w:cs="Times New Roman"/>
                <w:color w:val="000000"/>
              </w:rPr>
              <w:t>3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: </w:t>
            </w:r>
            <w:r w:rsidRPr="00657295">
              <w:rPr>
                <w:rFonts w:ascii="Times New Roman" w:hAnsi="Times New Roman" w:cs="Times New Roman"/>
                <w:color w:val="000000"/>
              </w:rPr>
              <w:t>Model 2 +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Hypertension, </w:t>
            </w:r>
            <w:r w:rsidRPr="00657295">
              <w:rPr>
                <w:rFonts w:ascii="Times New Roman" w:hAnsi="Times New Roman" w:cs="Times New Roman"/>
                <w:color w:val="000000"/>
              </w:rPr>
              <w:t>CVD (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Coronary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Heart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Disease, Congestive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Heart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Failure, </w:t>
            </w:r>
            <w:r w:rsidRPr="00657295">
              <w:rPr>
                <w:rFonts w:ascii="Times New Roman" w:hAnsi="Times New Roman" w:cs="Times New Roman"/>
                <w:color w:val="000000"/>
              </w:rPr>
              <w:t xml:space="preserve">Myocardial infarction, angina pectoris, 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>stroke</w:t>
            </w:r>
            <w:r w:rsidRPr="00657295">
              <w:rPr>
                <w:rFonts w:ascii="Times New Roman" w:hAnsi="Times New Roman" w:cs="Times New Roman"/>
                <w:color w:val="000000"/>
              </w:rPr>
              <w:t>) ,Smoking status, and Alcohol consumption</w:t>
            </w:r>
          </w:p>
        </w:tc>
      </w:tr>
    </w:tbl>
    <w:p w14:paraId="6AC6A9C9" w14:textId="77777777" w:rsidR="005B00B6" w:rsidRPr="009523BA" w:rsidRDefault="005B00B6" w:rsidP="005B00B6">
      <w:pPr>
        <w:rPr>
          <w:rFonts w:ascii="Times New Roman" w:hAnsi="Times New Roman" w:cs="Times New Roman"/>
        </w:rPr>
      </w:pPr>
    </w:p>
    <w:p w14:paraId="626C85DE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78588D9B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783D6C17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6768A710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34DE02A1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4417B0F5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5BEC7201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18DE89C0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2C57481E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2B7677AC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7AD9D3FA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11A61D80" w14:textId="77777777" w:rsidR="005B00B6" w:rsidRDefault="005B00B6" w:rsidP="005B00B6">
      <w:pPr>
        <w:rPr>
          <w:rFonts w:ascii="Times New Roman" w:hAnsi="Times New Roman" w:cs="Times New Roman"/>
        </w:rPr>
      </w:pPr>
    </w:p>
    <w:p w14:paraId="0C1E9C34" w14:textId="77777777" w:rsidR="00B9679B" w:rsidRDefault="00B9679B"/>
    <w:sectPr w:rsidR="00B9679B" w:rsidSect="00625BC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5FBE" w14:textId="77777777" w:rsidR="00BF2038" w:rsidRDefault="00BF2038" w:rsidP="005B00B6">
      <w:pPr>
        <w:spacing w:after="0" w:line="240" w:lineRule="auto"/>
      </w:pPr>
      <w:r>
        <w:separator/>
      </w:r>
    </w:p>
  </w:endnote>
  <w:endnote w:type="continuationSeparator" w:id="0">
    <w:p w14:paraId="02187A58" w14:textId="77777777" w:rsidR="00BF2038" w:rsidRDefault="00BF2038" w:rsidP="005B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ngXian">
    <w:altName w:val="|???¡ì??????¨¬?????¨¬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2E31" w14:textId="77777777" w:rsidR="00BF2038" w:rsidRDefault="00BF2038" w:rsidP="005B00B6">
      <w:pPr>
        <w:spacing w:after="0" w:line="240" w:lineRule="auto"/>
      </w:pPr>
      <w:r>
        <w:separator/>
      </w:r>
    </w:p>
  </w:footnote>
  <w:footnote w:type="continuationSeparator" w:id="0">
    <w:p w14:paraId="71F5A753" w14:textId="77777777" w:rsidR="00BF2038" w:rsidRDefault="00BF2038" w:rsidP="005B0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B"/>
    <w:rsid w:val="005B00B6"/>
    <w:rsid w:val="00625BC1"/>
    <w:rsid w:val="00AB11D6"/>
    <w:rsid w:val="00B9679B"/>
    <w:rsid w:val="00B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4B3FDE-6E6D-41C4-9BA2-EAF1E6CA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7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B6"/>
  </w:style>
  <w:style w:type="paragraph" w:styleId="Footer">
    <w:name w:val="footer"/>
    <w:basedOn w:val="Normal"/>
    <w:link w:val="FooterChar"/>
    <w:uiPriority w:val="99"/>
    <w:unhideWhenUsed/>
    <w:rsid w:val="005B0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2026-03-20T15:21:00Z</dcterms:created>
  <dcterms:modified xsi:type="dcterms:W3CDTF">2026-03-20T15:21:00Z</dcterms:modified>
</cp:coreProperties>
</file>