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EAADB" w14:textId="77777777" w:rsidR="00545CBB" w:rsidRDefault="00545CBB" w:rsidP="00545CBB"/>
    <w:p w14:paraId="5F3D5CFD" w14:textId="77777777" w:rsidR="00545CBB" w:rsidRDefault="00545CBB" w:rsidP="00545CBB">
      <w:r w:rsidRPr="006121EE">
        <w:rPr>
          <w:b/>
          <w:bCs/>
        </w:rPr>
        <w:t>Suppl 12.</w:t>
      </w:r>
      <w:r w:rsidRPr="006121EE">
        <w:t xml:space="preserve"> APC stratified by urban-rural classification</w:t>
      </w:r>
      <w: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0"/>
        <w:gridCol w:w="1153"/>
        <w:gridCol w:w="839"/>
        <w:gridCol w:w="1468"/>
        <w:gridCol w:w="1107"/>
      </w:tblGrid>
      <w:tr w:rsidR="00545CBB" w:rsidRPr="007D1A20" w14:paraId="34F33562" w14:textId="77777777" w:rsidTr="002D7F6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25300C" w14:textId="77777777" w:rsidR="00545CBB" w:rsidRPr="007D1A20" w:rsidRDefault="00545CBB" w:rsidP="002D7F61">
            <w:pPr>
              <w:rPr>
                <w:b/>
                <w:bCs/>
              </w:rPr>
            </w:pPr>
            <w:r w:rsidRPr="007D1A20">
              <w:rPr>
                <w:b/>
                <w:bCs/>
              </w:rPr>
              <w:t>Urban–Rural Classification</w:t>
            </w:r>
          </w:p>
        </w:tc>
        <w:tc>
          <w:tcPr>
            <w:tcW w:w="0" w:type="auto"/>
            <w:vAlign w:val="center"/>
            <w:hideMark/>
          </w:tcPr>
          <w:p w14:paraId="3DB129E8" w14:textId="77777777" w:rsidR="00545CBB" w:rsidRPr="007D1A20" w:rsidRDefault="00545CBB" w:rsidP="002D7F61">
            <w:pPr>
              <w:rPr>
                <w:b/>
                <w:bCs/>
              </w:rPr>
            </w:pPr>
            <w:r w:rsidRPr="007D1A20">
              <w:rPr>
                <w:b/>
                <w:bCs/>
              </w:rPr>
              <w:t>Years</w:t>
            </w:r>
          </w:p>
        </w:tc>
        <w:tc>
          <w:tcPr>
            <w:tcW w:w="0" w:type="auto"/>
            <w:vAlign w:val="center"/>
            <w:hideMark/>
          </w:tcPr>
          <w:p w14:paraId="50A17230" w14:textId="77777777" w:rsidR="00545CBB" w:rsidRPr="007D1A20" w:rsidRDefault="00545CBB" w:rsidP="002D7F61">
            <w:pPr>
              <w:rPr>
                <w:b/>
                <w:bCs/>
              </w:rPr>
            </w:pPr>
            <w:r w:rsidRPr="007D1A20">
              <w:rPr>
                <w:b/>
                <w:bCs/>
              </w:rPr>
              <w:t>APC (%)</w:t>
            </w:r>
          </w:p>
        </w:tc>
        <w:tc>
          <w:tcPr>
            <w:tcW w:w="0" w:type="auto"/>
            <w:vAlign w:val="center"/>
            <w:hideMark/>
          </w:tcPr>
          <w:p w14:paraId="5CA66B29" w14:textId="77777777" w:rsidR="00545CBB" w:rsidRPr="007D1A20" w:rsidRDefault="00545CBB" w:rsidP="002D7F61">
            <w:pPr>
              <w:rPr>
                <w:b/>
                <w:bCs/>
              </w:rPr>
            </w:pPr>
            <w:r w:rsidRPr="007D1A20">
              <w:rPr>
                <w:b/>
                <w:bCs/>
              </w:rPr>
              <w:t>95% CI</w:t>
            </w:r>
          </w:p>
        </w:tc>
        <w:tc>
          <w:tcPr>
            <w:tcW w:w="0" w:type="auto"/>
            <w:vAlign w:val="center"/>
            <w:hideMark/>
          </w:tcPr>
          <w:p w14:paraId="7769E7EC" w14:textId="77777777" w:rsidR="00545CBB" w:rsidRPr="007D1A20" w:rsidRDefault="00545CBB" w:rsidP="002D7F61">
            <w:pPr>
              <w:rPr>
                <w:b/>
                <w:bCs/>
              </w:rPr>
            </w:pPr>
            <w:r w:rsidRPr="007D1A20">
              <w:rPr>
                <w:b/>
                <w:bCs/>
              </w:rPr>
              <w:t>P value</w:t>
            </w:r>
          </w:p>
        </w:tc>
      </w:tr>
      <w:tr w:rsidR="00545CBB" w:rsidRPr="007D1A20" w14:paraId="42C56597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53B2C3" w14:textId="77777777" w:rsidR="00545CBB" w:rsidRPr="007D1A20" w:rsidRDefault="00545CBB" w:rsidP="002D7F61">
            <w:r w:rsidRPr="007D1A20">
              <w:t>Large Central Metro</w:t>
            </w:r>
          </w:p>
        </w:tc>
        <w:tc>
          <w:tcPr>
            <w:tcW w:w="0" w:type="auto"/>
            <w:vAlign w:val="center"/>
            <w:hideMark/>
          </w:tcPr>
          <w:p w14:paraId="32FDCB97" w14:textId="77777777" w:rsidR="00545CBB" w:rsidRPr="007D1A20" w:rsidRDefault="00545CBB" w:rsidP="002D7F61">
            <w:r w:rsidRPr="007D1A20">
              <w:t>1999–2012</w:t>
            </w:r>
          </w:p>
        </w:tc>
        <w:tc>
          <w:tcPr>
            <w:tcW w:w="0" w:type="auto"/>
            <w:vAlign w:val="center"/>
            <w:hideMark/>
          </w:tcPr>
          <w:p w14:paraId="4D78374C" w14:textId="77777777" w:rsidR="00545CBB" w:rsidRPr="007D1A20" w:rsidRDefault="00545CBB" w:rsidP="002D7F61">
            <w:r w:rsidRPr="007D1A20">
              <w:t>5.88</w:t>
            </w:r>
          </w:p>
        </w:tc>
        <w:tc>
          <w:tcPr>
            <w:tcW w:w="0" w:type="auto"/>
            <w:vAlign w:val="center"/>
            <w:hideMark/>
          </w:tcPr>
          <w:p w14:paraId="17EE377A" w14:textId="77777777" w:rsidR="00545CBB" w:rsidRPr="007D1A20" w:rsidRDefault="00545CBB" w:rsidP="002D7F61">
            <w:r w:rsidRPr="007D1A20">
              <w:t>2.51 to 7.40</w:t>
            </w:r>
          </w:p>
        </w:tc>
        <w:tc>
          <w:tcPr>
            <w:tcW w:w="0" w:type="auto"/>
            <w:vAlign w:val="center"/>
            <w:hideMark/>
          </w:tcPr>
          <w:p w14:paraId="28D30722" w14:textId="77777777" w:rsidR="00545CBB" w:rsidRPr="007D1A20" w:rsidRDefault="00545CBB" w:rsidP="002D7F61">
            <w:r w:rsidRPr="007D1A20">
              <w:t>0.020</w:t>
            </w:r>
          </w:p>
        </w:tc>
      </w:tr>
      <w:tr w:rsidR="00545CBB" w:rsidRPr="007D1A20" w14:paraId="4AC0A160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D71B36" w14:textId="77777777" w:rsidR="00545CBB" w:rsidRPr="007D1A20" w:rsidRDefault="00545CBB" w:rsidP="002D7F61">
            <w:r w:rsidRPr="007D1A20">
              <w:t>Large Central Metro</w:t>
            </w:r>
          </w:p>
        </w:tc>
        <w:tc>
          <w:tcPr>
            <w:tcW w:w="0" w:type="auto"/>
            <w:vAlign w:val="center"/>
            <w:hideMark/>
          </w:tcPr>
          <w:p w14:paraId="3C3BB9CA" w14:textId="77777777" w:rsidR="00545CBB" w:rsidRPr="007D1A20" w:rsidRDefault="00545CBB" w:rsidP="002D7F61">
            <w:r w:rsidRPr="007D1A20">
              <w:t>2012–2020</w:t>
            </w:r>
          </w:p>
        </w:tc>
        <w:tc>
          <w:tcPr>
            <w:tcW w:w="0" w:type="auto"/>
            <w:vAlign w:val="center"/>
            <w:hideMark/>
          </w:tcPr>
          <w:p w14:paraId="5A5345AF" w14:textId="77777777" w:rsidR="00545CBB" w:rsidRPr="007D1A20" w:rsidRDefault="00545CBB" w:rsidP="002D7F61">
            <w:r w:rsidRPr="007D1A20">
              <w:t>13.48</w:t>
            </w:r>
          </w:p>
        </w:tc>
        <w:tc>
          <w:tcPr>
            <w:tcW w:w="0" w:type="auto"/>
            <w:vAlign w:val="center"/>
            <w:hideMark/>
          </w:tcPr>
          <w:p w14:paraId="47A53978" w14:textId="77777777" w:rsidR="00545CBB" w:rsidRPr="007D1A20" w:rsidRDefault="00545CBB" w:rsidP="002D7F61">
            <w:r w:rsidRPr="007D1A20">
              <w:t>10.27 to 21.96</w:t>
            </w:r>
          </w:p>
        </w:tc>
        <w:tc>
          <w:tcPr>
            <w:tcW w:w="0" w:type="auto"/>
            <w:vAlign w:val="center"/>
            <w:hideMark/>
          </w:tcPr>
          <w:p w14:paraId="289A83D7" w14:textId="77777777" w:rsidR="00545CBB" w:rsidRPr="007D1A20" w:rsidRDefault="00545CBB" w:rsidP="002D7F61">
            <w:r w:rsidRPr="007D1A20">
              <w:t>&lt;0.000001</w:t>
            </w:r>
          </w:p>
        </w:tc>
      </w:tr>
      <w:tr w:rsidR="00545CBB" w:rsidRPr="007D1A20" w14:paraId="10725848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FBCAA6" w14:textId="77777777" w:rsidR="00545CBB" w:rsidRPr="007D1A20" w:rsidRDefault="00545CBB" w:rsidP="002D7F61">
            <w:r w:rsidRPr="007D1A20">
              <w:t>Large Fringe Metro</w:t>
            </w:r>
          </w:p>
        </w:tc>
        <w:tc>
          <w:tcPr>
            <w:tcW w:w="0" w:type="auto"/>
            <w:vAlign w:val="center"/>
            <w:hideMark/>
          </w:tcPr>
          <w:p w14:paraId="089A15EE" w14:textId="77777777" w:rsidR="00545CBB" w:rsidRPr="007D1A20" w:rsidRDefault="00545CBB" w:rsidP="002D7F61">
            <w:r w:rsidRPr="007D1A20">
              <w:t>1999–2009</w:t>
            </w:r>
          </w:p>
        </w:tc>
        <w:tc>
          <w:tcPr>
            <w:tcW w:w="0" w:type="auto"/>
            <w:vAlign w:val="center"/>
            <w:hideMark/>
          </w:tcPr>
          <w:p w14:paraId="1A47F3DA" w14:textId="77777777" w:rsidR="00545CBB" w:rsidRPr="007D1A20" w:rsidRDefault="00545CBB" w:rsidP="002D7F61">
            <w:r w:rsidRPr="007D1A20">
              <w:t>2.20</w:t>
            </w:r>
          </w:p>
        </w:tc>
        <w:tc>
          <w:tcPr>
            <w:tcW w:w="0" w:type="auto"/>
            <w:vAlign w:val="center"/>
            <w:hideMark/>
          </w:tcPr>
          <w:p w14:paraId="5562A200" w14:textId="77777777" w:rsidR="00545CBB" w:rsidRPr="007D1A20" w:rsidRDefault="00545CBB" w:rsidP="002D7F61">
            <w:r w:rsidRPr="007D1A20">
              <w:t>−3.75 to 4.82</w:t>
            </w:r>
          </w:p>
        </w:tc>
        <w:tc>
          <w:tcPr>
            <w:tcW w:w="0" w:type="auto"/>
            <w:vAlign w:val="center"/>
            <w:hideMark/>
          </w:tcPr>
          <w:p w14:paraId="43EDAF7E" w14:textId="77777777" w:rsidR="00545CBB" w:rsidRPr="007D1A20" w:rsidRDefault="00545CBB" w:rsidP="002D7F61">
            <w:r w:rsidRPr="007D1A20">
              <w:t>0.287</w:t>
            </w:r>
          </w:p>
        </w:tc>
      </w:tr>
      <w:tr w:rsidR="00545CBB" w:rsidRPr="007D1A20" w14:paraId="0E288366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B17E07" w14:textId="77777777" w:rsidR="00545CBB" w:rsidRPr="007D1A20" w:rsidRDefault="00545CBB" w:rsidP="002D7F61">
            <w:r w:rsidRPr="007D1A20">
              <w:t>Large Fringe Metro</w:t>
            </w:r>
          </w:p>
        </w:tc>
        <w:tc>
          <w:tcPr>
            <w:tcW w:w="0" w:type="auto"/>
            <w:vAlign w:val="center"/>
            <w:hideMark/>
          </w:tcPr>
          <w:p w14:paraId="6D3C8B09" w14:textId="77777777" w:rsidR="00545CBB" w:rsidRPr="007D1A20" w:rsidRDefault="00545CBB" w:rsidP="002D7F61">
            <w:r w:rsidRPr="007D1A20">
              <w:t>2009–2020</w:t>
            </w:r>
          </w:p>
        </w:tc>
        <w:tc>
          <w:tcPr>
            <w:tcW w:w="0" w:type="auto"/>
            <w:vAlign w:val="center"/>
            <w:hideMark/>
          </w:tcPr>
          <w:p w14:paraId="46AED6D3" w14:textId="77777777" w:rsidR="00545CBB" w:rsidRPr="007D1A20" w:rsidRDefault="00545CBB" w:rsidP="002D7F61">
            <w:r w:rsidRPr="007D1A20">
              <w:t>10.52</w:t>
            </w:r>
          </w:p>
        </w:tc>
        <w:tc>
          <w:tcPr>
            <w:tcW w:w="0" w:type="auto"/>
            <w:vAlign w:val="center"/>
            <w:hideMark/>
          </w:tcPr>
          <w:p w14:paraId="3C742E8D" w14:textId="77777777" w:rsidR="00545CBB" w:rsidRPr="007D1A20" w:rsidRDefault="00545CBB" w:rsidP="002D7F61">
            <w:r w:rsidRPr="007D1A20">
              <w:t>8.21 to 16.25</w:t>
            </w:r>
          </w:p>
        </w:tc>
        <w:tc>
          <w:tcPr>
            <w:tcW w:w="0" w:type="auto"/>
            <w:vAlign w:val="center"/>
            <w:hideMark/>
          </w:tcPr>
          <w:p w14:paraId="502A9F27" w14:textId="77777777" w:rsidR="00545CBB" w:rsidRPr="007D1A20" w:rsidRDefault="00545CBB" w:rsidP="002D7F61">
            <w:r w:rsidRPr="007D1A20">
              <w:t>0.0008</w:t>
            </w:r>
          </w:p>
        </w:tc>
      </w:tr>
      <w:tr w:rsidR="00545CBB" w:rsidRPr="007D1A20" w14:paraId="1E723319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458691" w14:textId="77777777" w:rsidR="00545CBB" w:rsidRPr="007D1A20" w:rsidRDefault="00545CBB" w:rsidP="002D7F61">
            <w:r w:rsidRPr="007D1A20">
              <w:t>Medium Metro</w:t>
            </w:r>
          </w:p>
        </w:tc>
        <w:tc>
          <w:tcPr>
            <w:tcW w:w="0" w:type="auto"/>
            <w:vAlign w:val="center"/>
            <w:hideMark/>
          </w:tcPr>
          <w:p w14:paraId="5D485073" w14:textId="77777777" w:rsidR="00545CBB" w:rsidRPr="007D1A20" w:rsidRDefault="00545CBB" w:rsidP="002D7F61">
            <w:r w:rsidRPr="007D1A20">
              <w:t>1999–2010</w:t>
            </w:r>
          </w:p>
        </w:tc>
        <w:tc>
          <w:tcPr>
            <w:tcW w:w="0" w:type="auto"/>
            <w:vAlign w:val="center"/>
            <w:hideMark/>
          </w:tcPr>
          <w:p w14:paraId="3A433B92" w14:textId="77777777" w:rsidR="00545CBB" w:rsidRPr="007D1A20" w:rsidRDefault="00545CBB" w:rsidP="002D7F61">
            <w:r w:rsidRPr="007D1A20">
              <w:t>4.20</w:t>
            </w:r>
          </w:p>
        </w:tc>
        <w:tc>
          <w:tcPr>
            <w:tcW w:w="0" w:type="auto"/>
            <w:vAlign w:val="center"/>
            <w:hideMark/>
          </w:tcPr>
          <w:p w14:paraId="40512A2E" w14:textId="77777777" w:rsidR="00545CBB" w:rsidRPr="007D1A20" w:rsidRDefault="00545CBB" w:rsidP="002D7F61">
            <w:r w:rsidRPr="007D1A20">
              <w:t>−0.48 to 6.54</w:t>
            </w:r>
          </w:p>
        </w:tc>
        <w:tc>
          <w:tcPr>
            <w:tcW w:w="0" w:type="auto"/>
            <w:vAlign w:val="center"/>
            <w:hideMark/>
          </w:tcPr>
          <w:p w14:paraId="04CBEDE6" w14:textId="77777777" w:rsidR="00545CBB" w:rsidRPr="007D1A20" w:rsidRDefault="00545CBB" w:rsidP="002D7F61">
            <w:r w:rsidRPr="007D1A20">
              <w:t>0.066</w:t>
            </w:r>
          </w:p>
        </w:tc>
      </w:tr>
      <w:tr w:rsidR="00545CBB" w:rsidRPr="007D1A20" w14:paraId="0C188A1F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1F15CF" w14:textId="77777777" w:rsidR="00545CBB" w:rsidRPr="007D1A20" w:rsidRDefault="00545CBB" w:rsidP="002D7F61">
            <w:r w:rsidRPr="007D1A20">
              <w:t>Medium Metro</w:t>
            </w:r>
          </w:p>
        </w:tc>
        <w:tc>
          <w:tcPr>
            <w:tcW w:w="0" w:type="auto"/>
            <w:vAlign w:val="center"/>
            <w:hideMark/>
          </w:tcPr>
          <w:p w14:paraId="299463DE" w14:textId="77777777" w:rsidR="00545CBB" w:rsidRPr="007D1A20" w:rsidRDefault="00545CBB" w:rsidP="002D7F61">
            <w:r w:rsidRPr="007D1A20">
              <w:t>2010–2020</w:t>
            </w:r>
          </w:p>
        </w:tc>
        <w:tc>
          <w:tcPr>
            <w:tcW w:w="0" w:type="auto"/>
            <w:vAlign w:val="center"/>
            <w:hideMark/>
          </w:tcPr>
          <w:p w14:paraId="3CC801EF" w14:textId="77777777" w:rsidR="00545CBB" w:rsidRPr="007D1A20" w:rsidRDefault="00545CBB" w:rsidP="002D7F61">
            <w:r w:rsidRPr="007D1A20">
              <w:t>13.19</w:t>
            </w:r>
          </w:p>
        </w:tc>
        <w:tc>
          <w:tcPr>
            <w:tcW w:w="0" w:type="auto"/>
            <w:vAlign w:val="center"/>
            <w:hideMark/>
          </w:tcPr>
          <w:p w14:paraId="5FFEEFD6" w14:textId="77777777" w:rsidR="00545CBB" w:rsidRPr="007D1A20" w:rsidRDefault="00545CBB" w:rsidP="002D7F61">
            <w:r w:rsidRPr="007D1A20">
              <w:t>10.34 to 19.26</w:t>
            </w:r>
          </w:p>
        </w:tc>
        <w:tc>
          <w:tcPr>
            <w:tcW w:w="0" w:type="auto"/>
            <w:vAlign w:val="center"/>
            <w:hideMark/>
          </w:tcPr>
          <w:p w14:paraId="5243BF8E" w14:textId="77777777" w:rsidR="00545CBB" w:rsidRPr="007D1A20" w:rsidRDefault="00545CBB" w:rsidP="002D7F61">
            <w:r w:rsidRPr="007D1A20">
              <w:t>&lt;0.000001</w:t>
            </w:r>
          </w:p>
        </w:tc>
      </w:tr>
      <w:tr w:rsidR="00545CBB" w:rsidRPr="007D1A20" w14:paraId="789D727F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779171" w14:textId="77777777" w:rsidR="00545CBB" w:rsidRPr="007D1A20" w:rsidRDefault="00545CBB" w:rsidP="002D7F61">
            <w:r w:rsidRPr="007D1A20">
              <w:t>Small Metro</w:t>
            </w:r>
          </w:p>
        </w:tc>
        <w:tc>
          <w:tcPr>
            <w:tcW w:w="0" w:type="auto"/>
            <w:vAlign w:val="center"/>
            <w:hideMark/>
          </w:tcPr>
          <w:p w14:paraId="1A136F26" w14:textId="77777777" w:rsidR="00545CBB" w:rsidRPr="007D1A20" w:rsidRDefault="00545CBB" w:rsidP="002D7F61">
            <w:r w:rsidRPr="007D1A20">
              <w:t>1999–2007</w:t>
            </w:r>
          </w:p>
        </w:tc>
        <w:tc>
          <w:tcPr>
            <w:tcW w:w="0" w:type="auto"/>
            <w:vAlign w:val="center"/>
            <w:hideMark/>
          </w:tcPr>
          <w:p w14:paraId="769BC923" w14:textId="77777777" w:rsidR="00545CBB" w:rsidRPr="007D1A20" w:rsidRDefault="00545CBB" w:rsidP="002D7F61">
            <w:r w:rsidRPr="007D1A20">
              <w:t>2.91</w:t>
            </w:r>
          </w:p>
        </w:tc>
        <w:tc>
          <w:tcPr>
            <w:tcW w:w="0" w:type="auto"/>
            <w:vAlign w:val="center"/>
            <w:hideMark/>
          </w:tcPr>
          <w:p w14:paraId="518036BB" w14:textId="77777777" w:rsidR="00545CBB" w:rsidRPr="007D1A20" w:rsidRDefault="00545CBB" w:rsidP="002D7F61">
            <w:r w:rsidRPr="007D1A20">
              <w:t>−15.56 to 8.18</w:t>
            </w:r>
          </w:p>
        </w:tc>
        <w:tc>
          <w:tcPr>
            <w:tcW w:w="0" w:type="auto"/>
            <w:vAlign w:val="center"/>
            <w:hideMark/>
          </w:tcPr>
          <w:p w14:paraId="3EC076E1" w14:textId="77777777" w:rsidR="00545CBB" w:rsidRPr="007D1A20" w:rsidRDefault="00545CBB" w:rsidP="002D7F61">
            <w:r w:rsidRPr="007D1A20">
              <w:t>0.611</w:t>
            </w:r>
          </w:p>
        </w:tc>
      </w:tr>
      <w:tr w:rsidR="00545CBB" w:rsidRPr="007D1A20" w14:paraId="0C894B3F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3E6D65" w14:textId="77777777" w:rsidR="00545CBB" w:rsidRPr="007D1A20" w:rsidRDefault="00545CBB" w:rsidP="002D7F61">
            <w:r w:rsidRPr="007D1A20">
              <w:t>Small Metro</w:t>
            </w:r>
          </w:p>
        </w:tc>
        <w:tc>
          <w:tcPr>
            <w:tcW w:w="0" w:type="auto"/>
            <w:vAlign w:val="center"/>
            <w:hideMark/>
          </w:tcPr>
          <w:p w14:paraId="34F78DE4" w14:textId="77777777" w:rsidR="00545CBB" w:rsidRPr="007D1A20" w:rsidRDefault="00545CBB" w:rsidP="002D7F61">
            <w:r w:rsidRPr="007D1A20">
              <w:t>2007–2020</w:t>
            </w:r>
          </w:p>
        </w:tc>
        <w:tc>
          <w:tcPr>
            <w:tcW w:w="0" w:type="auto"/>
            <w:vAlign w:val="center"/>
            <w:hideMark/>
          </w:tcPr>
          <w:p w14:paraId="180B2146" w14:textId="77777777" w:rsidR="00545CBB" w:rsidRPr="007D1A20" w:rsidRDefault="00545CBB" w:rsidP="002D7F61">
            <w:r w:rsidRPr="007D1A20">
              <w:t>11.69</w:t>
            </w:r>
          </w:p>
        </w:tc>
        <w:tc>
          <w:tcPr>
            <w:tcW w:w="0" w:type="auto"/>
            <w:vAlign w:val="center"/>
            <w:hideMark/>
          </w:tcPr>
          <w:p w14:paraId="7E082BCE" w14:textId="77777777" w:rsidR="00545CBB" w:rsidRPr="007D1A20" w:rsidRDefault="00545CBB" w:rsidP="002D7F61">
            <w:r w:rsidRPr="007D1A20">
              <w:t>8.95 to 29.53</w:t>
            </w:r>
          </w:p>
        </w:tc>
        <w:tc>
          <w:tcPr>
            <w:tcW w:w="0" w:type="auto"/>
            <w:vAlign w:val="center"/>
            <w:hideMark/>
          </w:tcPr>
          <w:p w14:paraId="1A857294" w14:textId="77777777" w:rsidR="00545CBB" w:rsidRPr="007D1A20" w:rsidRDefault="00545CBB" w:rsidP="002D7F61">
            <w:r w:rsidRPr="007D1A20">
              <w:t>0.015</w:t>
            </w:r>
          </w:p>
        </w:tc>
      </w:tr>
      <w:tr w:rsidR="00545CBB" w:rsidRPr="007D1A20" w14:paraId="7193C173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185B33" w14:textId="77777777" w:rsidR="00545CBB" w:rsidRPr="007D1A20" w:rsidRDefault="00545CBB" w:rsidP="002D7F61">
            <w:r w:rsidRPr="007D1A20">
              <w:t>Micropolitan (Nonmetro)</w:t>
            </w:r>
          </w:p>
        </w:tc>
        <w:tc>
          <w:tcPr>
            <w:tcW w:w="0" w:type="auto"/>
            <w:vAlign w:val="center"/>
            <w:hideMark/>
          </w:tcPr>
          <w:p w14:paraId="636F668D" w14:textId="77777777" w:rsidR="00545CBB" w:rsidRPr="007D1A20" w:rsidRDefault="00545CBB" w:rsidP="002D7F61">
            <w:r w:rsidRPr="007D1A20">
              <w:t>1999–2004</w:t>
            </w:r>
          </w:p>
        </w:tc>
        <w:tc>
          <w:tcPr>
            <w:tcW w:w="0" w:type="auto"/>
            <w:vAlign w:val="center"/>
            <w:hideMark/>
          </w:tcPr>
          <w:p w14:paraId="43BE23D0" w14:textId="77777777" w:rsidR="00545CBB" w:rsidRPr="007D1A20" w:rsidRDefault="00545CBB" w:rsidP="002D7F61">
            <w:r w:rsidRPr="007D1A20">
              <w:t>−2.73</w:t>
            </w:r>
          </w:p>
        </w:tc>
        <w:tc>
          <w:tcPr>
            <w:tcW w:w="0" w:type="auto"/>
            <w:vAlign w:val="center"/>
            <w:hideMark/>
          </w:tcPr>
          <w:p w14:paraId="7070AE50" w14:textId="77777777" w:rsidR="00545CBB" w:rsidRPr="007D1A20" w:rsidRDefault="00545CBB" w:rsidP="002D7F61">
            <w:r w:rsidRPr="007D1A20">
              <w:t>−24.41 to 9.35</w:t>
            </w:r>
          </w:p>
        </w:tc>
        <w:tc>
          <w:tcPr>
            <w:tcW w:w="0" w:type="auto"/>
            <w:vAlign w:val="center"/>
            <w:hideMark/>
          </w:tcPr>
          <w:p w14:paraId="2DDC2568" w14:textId="77777777" w:rsidR="00545CBB" w:rsidRPr="007D1A20" w:rsidRDefault="00545CBB" w:rsidP="002D7F61">
            <w:r w:rsidRPr="007D1A20">
              <w:t>0.677</w:t>
            </w:r>
          </w:p>
        </w:tc>
      </w:tr>
      <w:tr w:rsidR="00545CBB" w:rsidRPr="007D1A20" w14:paraId="5BE99641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713B3C" w14:textId="77777777" w:rsidR="00545CBB" w:rsidRPr="007D1A20" w:rsidRDefault="00545CBB" w:rsidP="002D7F61">
            <w:r w:rsidRPr="007D1A20">
              <w:t>Micropolitan (Nonmetro)</w:t>
            </w:r>
          </w:p>
        </w:tc>
        <w:tc>
          <w:tcPr>
            <w:tcW w:w="0" w:type="auto"/>
            <w:vAlign w:val="center"/>
            <w:hideMark/>
          </w:tcPr>
          <w:p w14:paraId="2EFA3A59" w14:textId="77777777" w:rsidR="00545CBB" w:rsidRPr="007D1A20" w:rsidRDefault="00545CBB" w:rsidP="002D7F61">
            <w:r w:rsidRPr="007D1A20">
              <w:t>2004–2020</w:t>
            </w:r>
          </w:p>
        </w:tc>
        <w:tc>
          <w:tcPr>
            <w:tcW w:w="0" w:type="auto"/>
            <w:vAlign w:val="center"/>
            <w:hideMark/>
          </w:tcPr>
          <w:p w14:paraId="509D4218" w14:textId="77777777" w:rsidR="00545CBB" w:rsidRPr="007D1A20" w:rsidRDefault="00545CBB" w:rsidP="002D7F61">
            <w:r w:rsidRPr="007D1A20">
              <w:t>11.10</w:t>
            </w:r>
          </w:p>
        </w:tc>
        <w:tc>
          <w:tcPr>
            <w:tcW w:w="0" w:type="auto"/>
            <w:vAlign w:val="center"/>
            <w:hideMark/>
          </w:tcPr>
          <w:p w14:paraId="3BFD83C9" w14:textId="77777777" w:rsidR="00545CBB" w:rsidRPr="007D1A20" w:rsidRDefault="00545CBB" w:rsidP="002D7F61">
            <w:r w:rsidRPr="007D1A20">
              <w:t>7.93 to 27.27</w:t>
            </w:r>
          </w:p>
        </w:tc>
        <w:tc>
          <w:tcPr>
            <w:tcW w:w="0" w:type="auto"/>
            <w:vAlign w:val="center"/>
            <w:hideMark/>
          </w:tcPr>
          <w:p w14:paraId="07B59389" w14:textId="77777777" w:rsidR="00545CBB" w:rsidRPr="007D1A20" w:rsidRDefault="00545CBB" w:rsidP="002D7F61">
            <w:r w:rsidRPr="007D1A20">
              <w:t>0.039</w:t>
            </w:r>
          </w:p>
        </w:tc>
      </w:tr>
      <w:tr w:rsidR="00545CBB" w:rsidRPr="007D1A20" w14:paraId="0B39F7B0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363141" w14:textId="77777777" w:rsidR="00545CBB" w:rsidRPr="007D1A20" w:rsidRDefault="00545CBB" w:rsidP="002D7F61">
            <w:r w:rsidRPr="007D1A20">
              <w:t>Noncore (Nonmetro)</w:t>
            </w:r>
          </w:p>
        </w:tc>
        <w:tc>
          <w:tcPr>
            <w:tcW w:w="0" w:type="auto"/>
            <w:vAlign w:val="center"/>
            <w:hideMark/>
          </w:tcPr>
          <w:p w14:paraId="590C44D5" w14:textId="77777777" w:rsidR="00545CBB" w:rsidRPr="007D1A20" w:rsidRDefault="00545CBB" w:rsidP="002D7F61">
            <w:r w:rsidRPr="007D1A20">
              <w:t>1999–2010</w:t>
            </w:r>
          </w:p>
        </w:tc>
        <w:tc>
          <w:tcPr>
            <w:tcW w:w="0" w:type="auto"/>
            <w:vAlign w:val="center"/>
            <w:hideMark/>
          </w:tcPr>
          <w:p w14:paraId="46B97E63" w14:textId="77777777" w:rsidR="00545CBB" w:rsidRPr="007D1A20" w:rsidRDefault="00545CBB" w:rsidP="002D7F61">
            <w:r w:rsidRPr="007D1A20">
              <w:t>4.48</w:t>
            </w:r>
          </w:p>
        </w:tc>
        <w:tc>
          <w:tcPr>
            <w:tcW w:w="0" w:type="auto"/>
            <w:vAlign w:val="center"/>
            <w:hideMark/>
          </w:tcPr>
          <w:p w14:paraId="55328217" w14:textId="77777777" w:rsidR="00545CBB" w:rsidRPr="007D1A20" w:rsidRDefault="00545CBB" w:rsidP="002D7F61">
            <w:r w:rsidRPr="007D1A20">
              <w:t>0.73 to 6.77</w:t>
            </w:r>
          </w:p>
        </w:tc>
        <w:tc>
          <w:tcPr>
            <w:tcW w:w="0" w:type="auto"/>
            <w:vAlign w:val="center"/>
            <w:hideMark/>
          </w:tcPr>
          <w:p w14:paraId="0DB59C4D" w14:textId="77777777" w:rsidR="00545CBB" w:rsidRPr="007D1A20" w:rsidRDefault="00545CBB" w:rsidP="002D7F61">
            <w:r w:rsidRPr="007D1A20">
              <w:t>0.030</w:t>
            </w:r>
          </w:p>
        </w:tc>
      </w:tr>
      <w:tr w:rsidR="00545CBB" w:rsidRPr="007D1A20" w14:paraId="184DE1D3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DFD9E1" w14:textId="77777777" w:rsidR="00545CBB" w:rsidRPr="007D1A20" w:rsidRDefault="00545CBB" w:rsidP="002D7F61">
            <w:r w:rsidRPr="007D1A20">
              <w:t>Noncore (Nonmetro)</w:t>
            </w:r>
          </w:p>
        </w:tc>
        <w:tc>
          <w:tcPr>
            <w:tcW w:w="0" w:type="auto"/>
            <w:vAlign w:val="center"/>
            <w:hideMark/>
          </w:tcPr>
          <w:p w14:paraId="2BB65665" w14:textId="77777777" w:rsidR="00545CBB" w:rsidRPr="007D1A20" w:rsidRDefault="00545CBB" w:rsidP="002D7F61">
            <w:r w:rsidRPr="007D1A20">
              <w:t>2010–2020</w:t>
            </w:r>
          </w:p>
        </w:tc>
        <w:tc>
          <w:tcPr>
            <w:tcW w:w="0" w:type="auto"/>
            <w:vAlign w:val="center"/>
            <w:hideMark/>
          </w:tcPr>
          <w:p w14:paraId="0D1D2960" w14:textId="77777777" w:rsidR="00545CBB" w:rsidRPr="007D1A20" w:rsidRDefault="00545CBB" w:rsidP="002D7F61">
            <w:r w:rsidRPr="007D1A20">
              <w:t>16.25</w:t>
            </w:r>
          </w:p>
        </w:tc>
        <w:tc>
          <w:tcPr>
            <w:tcW w:w="0" w:type="auto"/>
            <w:vAlign w:val="center"/>
            <w:hideMark/>
          </w:tcPr>
          <w:p w14:paraId="32C902B2" w14:textId="77777777" w:rsidR="00545CBB" w:rsidRPr="007D1A20" w:rsidRDefault="00545CBB" w:rsidP="002D7F61">
            <w:r w:rsidRPr="007D1A20">
              <w:t>13.25 to 21.27</w:t>
            </w:r>
          </w:p>
        </w:tc>
        <w:tc>
          <w:tcPr>
            <w:tcW w:w="0" w:type="auto"/>
            <w:vAlign w:val="center"/>
            <w:hideMark/>
          </w:tcPr>
          <w:p w14:paraId="647930B1" w14:textId="77777777" w:rsidR="00545CBB" w:rsidRPr="007D1A20" w:rsidRDefault="00545CBB" w:rsidP="002D7F61">
            <w:r w:rsidRPr="007D1A20">
              <w:t>&lt;0.000001</w:t>
            </w:r>
          </w:p>
        </w:tc>
      </w:tr>
    </w:tbl>
    <w:p w14:paraId="7EDD283A" w14:textId="77777777" w:rsidR="00545CBB" w:rsidRDefault="00545CBB" w:rsidP="00545CBB"/>
    <w:p w14:paraId="6C1B1DDE" w14:textId="77777777" w:rsidR="00780597" w:rsidRDefault="00780597"/>
    <w:sectPr w:rsidR="007805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04ABB" w14:textId="77777777" w:rsidR="0002657D" w:rsidRDefault="0002657D" w:rsidP="00545CBB">
      <w:pPr>
        <w:spacing w:after="0" w:line="240" w:lineRule="auto"/>
      </w:pPr>
      <w:r>
        <w:separator/>
      </w:r>
    </w:p>
  </w:endnote>
  <w:endnote w:type="continuationSeparator" w:id="0">
    <w:p w14:paraId="4DD6F50B" w14:textId="77777777" w:rsidR="0002657D" w:rsidRDefault="0002657D" w:rsidP="00545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07657" w14:textId="77777777" w:rsidR="0002657D" w:rsidRDefault="0002657D" w:rsidP="00545CBB">
      <w:pPr>
        <w:spacing w:after="0" w:line="240" w:lineRule="auto"/>
      </w:pPr>
      <w:r>
        <w:separator/>
      </w:r>
    </w:p>
  </w:footnote>
  <w:footnote w:type="continuationSeparator" w:id="0">
    <w:p w14:paraId="2CA21F0B" w14:textId="77777777" w:rsidR="0002657D" w:rsidRDefault="0002657D" w:rsidP="00545C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597"/>
    <w:rsid w:val="0002657D"/>
    <w:rsid w:val="000978AF"/>
    <w:rsid w:val="00545CBB"/>
    <w:rsid w:val="0078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5C555A6-6F1C-4D69-9FD2-5BD19151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5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5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5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5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5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5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5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5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5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0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5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5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5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5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59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5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CBB"/>
  </w:style>
  <w:style w:type="paragraph" w:styleId="Footer">
    <w:name w:val="footer"/>
    <w:basedOn w:val="Normal"/>
    <w:link w:val="FooterChar"/>
    <w:uiPriority w:val="99"/>
    <w:unhideWhenUsed/>
    <w:rsid w:val="00545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2026-04-13T01:34:00Z</dcterms:created>
  <dcterms:modified xsi:type="dcterms:W3CDTF">2026-04-13T01:34:00Z</dcterms:modified>
</cp:coreProperties>
</file>