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2359" w14:textId="7A2C1D50" w:rsidR="00E2443A" w:rsidRPr="00BF7731" w:rsidRDefault="00E2443A" w:rsidP="00E2443A">
      <w:pPr>
        <w:widowControl w:val="0"/>
        <w:adjustRightInd w:val="0"/>
        <w:snapToGrid w:val="0"/>
      </w:pPr>
      <w:r w:rsidRPr="00BF7731">
        <w:rPr>
          <w:b/>
          <w:bCs/>
        </w:rPr>
        <w:t xml:space="preserve">Suppl 2. </w:t>
      </w:r>
      <w:r w:rsidRPr="00BF7731">
        <w:t xml:space="preserve">The SCIENCE Scoring </w:t>
      </w:r>
    </w:p>
    <w:tbl>
      <w:tblPr>
        <w:tblStyle w:val="PlainTable21"/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1216"/>
        <w:gridCol w:w="513"/>
        <w:gridCol w:w="565"/>
        <w:gridCol w:w="1480"/>
      </w:tblGrid>
      <w:tr w:rsidR="00E2443A" w:rsidRPr="00AB6C5C" w14:paraId="47A97A14" w14:textId="77777777" w:rsidTr="00B77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vAlign w:val="center"/>
          </w:tcPr>
          <w:p w14:paraId="20EEC1B6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t>Variable</w:t>
            </w:r>
          </w:p>
        </w:tc>
        <w:tc>
          <w:tcPr>
            <w:tcW w:w="732" w:type="pct"/>
            <w:vAlign w:val="center"/>
          </w:tcPr>
          <w:p w14:paraId="028A1553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B6C5C">
              <w:t>Point</w:t>
            </w:r>
          </w:p>
        </w:tc>
        <w:tc>
          <w:tcPr>
            <w:tcW w:w="1540" w:type="pct"/>
            <w:gridSpan w:val="3"/>
            <w:vAlign w:val="center"/>
          </w:tcPr>
          <w:p w14:paraId="0660B918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E2443A" w:rsidRPr="00AB6C5C" w14:paraId="676918AF" w14:textId="77777777" w:rsidTr="00B7777C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BBD301D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Gender: Female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3EBB7CE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4F7298F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T</w:t>
            </w:r>
          </w:p>
          <w:p w14:paraId="490236F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O</w:t>
            </w:r>
          </w:p>
          <w:p w14:paraId="7504018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T</w:t>
            </w:r>
          </w:p>
          <w:p w14:paraId="35BBFA7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A</w:t>
            </w:r>
          </w:p>
          <w:p w14:paraId="0784F12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L</w:t>
            </w:r>
          </w:p>
          <w:p w14:paraId="12249FBE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</w:p>
          <w:p w14:paraId="2210FA71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P</w:t>
            </w:r>
          </w:p>
          <w:p w14:paraId="0064804B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O</w:t>
            </w:r>
          </w:p>
          <w:p w14:paraId="2A9A7C6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I</w:t>
            </w:r>
          </w:p>
          <w:p w14:paraId="03A3A6B6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MC"/>
              </w:rPr>
            </w:pPr>
            <w:r w:rsidRPr="00AB6C5C">
              <w:rPr>
                <w:b/>
                <w:bCs/>
                <w:lang w:val="fr-MC"/>
              </w:rPr>
              <w:t>N</w:t>
            </w:r>
          </w:p>
          <w:p w14:paraId="383F3875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MC"/>
              </w:rPr>
            </w:pPr>
            <w:r w:rsidRPr="00AB6C5C">
              <w:rPr>
                <w:b/>
                <w:bCs/>
                <w:lang w:val="fr-MC"/>
              </w:rPr>
              <w:t>T</w:t>
            </w:r>
          </w:p>
        </w:tc>
        <w:tc>
          <w:tcPr>
            <w:tcW w:w="340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C65BE03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&lt;3</w:t>
            </w:r>
          </w:p>
        </w:tc>
        <w:tc>
          <w:tcPr>
            <w:tcW w:w="891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6376D4E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Low risk</w:t>
            </w:r>
          </w:p>
        </w:tc>
      </w:tr>
      <w:tr w:rsidR="00E2443A" w:rsidRPr="00AB6C5C" w14:paraId="04B3F22B" w14:textId="77777777" w:rsidTr="00B7777C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vAlign w:val="center"/>
          </w:tcPr>
          <w:p w14:paraId="45E4D920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Admission diagnosis of acute heart failure</w:t>
            </w:r>
          </w:p>
        </w:tc>
        <w:tc>
          <w:tcPr>
            <w:tcW w:w="732" w:type="pct"/>
            <w:vAlign w:val="center"/>
          </w:tcPr>
          <w:p w14:paraId="776A7B83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/>
            <w:vAlign w:val="center"/>
          </w:tcPr>
          <w:p w14:paraId="4B113717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vAlign w:val="center"/>
          </w:tcPr>
          <w:p w14:paraId="6E7B59C6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  <w:vMerge/>
          </w:tcPr>
          <w:p w14:paraId="0D2FFAC4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43A" w:rsidRPr="00AB6C5C" w14:paraId="6503D7C3" w14:textId="77777777" w:rsidTr="00B7777C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065E219C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Admission diagnosis of hemodynamic instability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643C03CF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2</w:t>
            </w:r>
          </w:p>
        </w:tc>
        <w:tc>
          <w:tcPr>
            <w:tcW w:w="309" w:type="pct"/>
            <w:vMerge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6D6B077E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 w:val="restar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3E0B712C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≥3</w:t>
            </w:r>
          </w:p>
        </w:tc>
        <w:tc>
          <w:tcPr>
            <w:tcW w:w="891" w:type="pct"/>
            <w:vMerge w:val="restart"/>
            <w:tcBorders>
              <w:top w:val="single" w:sz="4" w:space="0" w:color="7F7F7F" w:themeColor="text1" w:themeTint="80"/>
              <w:bottom w:val="nil"/>
            </w:tcBorders>
          </w:tcPr>
          <w:p w14:paraId="58017D53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31B8E9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8FA1BB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3C49AA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E2EA95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4E1838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High risk</w:t>
            </w:r>
          </w:p>
        </w:tc>
      </w:tr>
      <w:tr w:rsidR="00E2443A" w:rsidRPr="00AB6C5C" w14:paraId="68BE8420" w14:textId="77777777" w:rsidTr="00B7777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bottom w:val="nil"/>
            </w:tcBorders>
            <w:vAlign w:val="center"/>
          </w:tcPr>
          <w:p w14:paraId="5F792F40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Admission diagnosis of comorbid pneumonia</w:t>
            </w:r>
          </w:p>
        </w:tc>
        <w:tc>
          <w:tcPr>
            <w:tcW w:w="732" w:type="pct"/>
            <w:tcBorders>
              <w:bottom w:val="nil"/>
            </w:tcBorders>
            <w:vAlign w:val="center"/>
          </w:tcPr>
          <w:p w14:paraId="47169B2B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/>
            <w:tcBorders>
              <w:bottom w:val="nil"/>
            </w:tcBorders>
            <w:vAlign w:val="center"/>
          </w:tcPr>
          <w:p w14:paraId="494B9032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bottom w:val="nil"/>
            </w:tcBorders>
            <w:vAlign w:val="center"/>
          </w:tcPr>
          <w:p w14:paraId="72E7A441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  <w:vMerge/>
            <w:tcBorders>
              <w:bottom w:val="nil"/>
            </w:tcBorders>
          </w:tcPr>
          <w:p w14:paraId="3B954681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43A" w:rsidRPr="00AB6C5C" w14:paraId="5E431D41" w14:textId="77777777" w:rsidTr="00B7777C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6FDFA17B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Serum Creatinine ≥1.5mg/dL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142CE10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2AE828AF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276D9891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  <w:vMerge/>
            <w:tcBorders>
              <w:top w:val="single" w:sz="4" w:space="0" w:color="7F7F7F" w:themeColor="text1" w:themeTint="80"/>
              <w:bottom w:val="nil"/>
            </w:tcBorders>
          </w:tcPr>
          <w:p w14:paraId="3282C818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43A" w:rsidRPr="00AB6C5C" w14:paraId="76E411EB" w14:textId="77777777" w:rsidTr="00B7777C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bottom w:val="nil"/>
            </w:tcBorders>
            <w:vAlign w:val="center"/>
          </w:tcPr>
          <w:p w14:paraId="4FC62CF7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TAPSE &lt;17 mm</w:t>
            </w:r>
          </w:p>
        </w:tc>
        <w:tc>
          <w:tcPr>
            <w:tcW w:w="732" w:type="pct"/>
            <w:tcBorders>
              <w:bottom w:val="nil"/>
            </w:tcBorders>
            <w:vAlign w:val="center"/>
          </w:tcPr>
          <w:p w14:paraId="00B7DE38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/>
            <w:tcBorders>
              <w:bottom w:val="nil"/>
            </w:tcBorders>
            <w:vAlign w:val="center"/>
          </w:tcPr>
          <w:p w14:paraId="28D4BFB2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bottom w:val="nil"/>
            </w:tcBorders>
            <w:vAlign w:val="center"/>
          </w:tcPr>
          <w:p w14:paraId="04CACFBC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  <w:vMerge/>
            <w:tcBorders>
              <w:bottom w:val="nil"/>
            </w:tcBorders>
          </w:tcPr>
          <w:p w14:paraId="73900386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43A" w:rsidRPr="00AB6C5C" w14:paraId="6BD11786" w14:textId="77777777" w:rsidTr="00B7777C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6904BB3" w14:textId="77777777" w:rsidR="00E2443A" w:rsidRPr="00AB6C5C" w:rsidRDefault="00E2443A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AB6C5C">
              <w:rPr>
                <w:b w:val="0"/>
                <w:bCs w:val="0"/>
              </w:rPr>
              <w:t>Use of Invasive Mechanical Ventilation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8B4D817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C5C">
              <w:t>1</w:t>
            </w:r>
          </w:p>
        </w:tc>
        <w:tc>
          <w:tcPr>
            <w:tcW w:w="30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CD29777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609710B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429168" w14:textId="77777777" w:rsidR="00E2443A" w:rsidRPr="00AB6C5C" w:rsidRDefault="00E2443A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43A" w:rsidRPr="00AB6C5C" w14:paraId="0A12484D" w14:textId="77777777" w:rsidTr="00B7777C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4F805A3A" w14:textId="21BE78E4" w:rsidR="00E2443A" w:rsidRPr="00AB6C5C" w:rsidRDefault="00E2443A" w:rsidP="00B7777C">
            <w:pPr>
              <w:widowControl w:val="0"/>
              <w:adjustRightInd w:val="0"/>
              <w:snapToGrid w:val="0"/>
              <w:rPr>
                <w:rFonts w:eastAsiaTheme="minorEastAsia"/>
                <w:b w:val="0"/>
                <w:bCs w:val="0"/>
                <w:lang w:eastAsia="zh-CN"/>
              </w:rPr>
            </w:pPr>
            <w:r w:rsidRPr="00AB6C5C">
              <w:rPr>
                <w:b w:val="0"/>
              </w:rPr>
              <w:t>TAPSE: Tricuspid Annular Plane Systolic</w:t>
            </w:r>
            <w:r w:rsidRPr="00AB6C5C">
              <w:rPr>
                <w:b w:val="0"/>
                <w:spacing w:val="-11"/>
              </w:rPr>
              <w:t xml:space="preserve"> </w:t>
            </w:r>
            <w:r w:rsidRPr="00AB6C5C">
              <w:rPr>
                <w:b w:val="0"/>
              </w:rPr>
              <w:t>Excursion</w:t>
            </w:r>
            <w:r w:rsidR="00AB6C5C" w:rsidRPr="00AB6C5C">
              <w:rPr>
                <w:rFonts w:eastAsiaTheme="minorEastAsia"/>
                <w:b w:val="0"/>
                <w:lang w:eastAsia="zh-CN"/>
              </w:rPr>
              <w:t>.</w:t>
            </w:r>
          </w:p>
        </w:tc>
      </w:tr>
    </w:tbl>
    <w:p w14:paraId="7A6C74A8" w14:textId="77777777" w:rsidR="00E2443A" w:rsidRPr="00BF7731" w:rsidRDefault="00E2443A" w:rsidP="00E2443A">
      <w:pPr>
        <w:pStyle w:val="ae"/>
        <w:widowControl w:val="0"/>
        <w:adjustRightInd w:val="0"/>
        <w:snapToGrid w:val="0"/>
        <w:spacing w:after="0"/>
        <w:rPr>
          <w:b/>
          <w:bCs/>
          <w:i w:val="0"/>
          <w:iCs w:val="0"/>
          <w:color w:val="auto"/>
          <w:sz w:val="24"/>
          <w:szCs w:val="24"/>
        </w:rPr>
      </w:pPr>
    </w:p>
    <w:p w14:paraId="22A8BA20" w14:textId="77777777" w:rsidR="009E48E0" w:rsidRDefault="009E48E0"/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D434" w14:textId="77777777" w:rsidR="000D52FF" w:rsidRDefault="000D52FF" w:rsidP="00AB6C5C">
      <w:r>
        <w:separator/>
      </w:r>
    </w:p>
  </w:endnote>
  <w:endnote w:type="continuationSeparator" w:id="0">
    <w:p w14:paraId="5B738447" w14:textId="77777777" w:rsidR="000D52FF" w:rsidRDefault="000D52FF" w:rsidP="00AB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B152" w14:textId="77777777" w:rsidR="000D52FF" w:rsidRDefault="000D52FF" w:rsidP="00AB6C5C">
      <w:r>
        <w:separator/>
      </w:r>
    </w:p>
  </w:footnote>
  <w:footnote w:type="continuationSeparator" w:id="0">
    <w:p w14:paraId="7EC27274" w14:textId="77777777" w:rsidR="000D52FF" w:rsidRDefault="000D52FF" w:rsidP="00AB6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3A"/>
    <w:rsid w:val="000D52FF"/>
    <w:rsid w:val="003F3B25"/>
    <w:rsid w:val="00531D51"/>
    <w:rsid w:val="00922E90"/>
    <w:rsid w:val="00942195"/>
    <w:rsid w:val="009E48E0"/>
    <w:rsid w:val="00AB6C5C"/>
    <w:rsid w:val="00D673D8"/>
    <w:rsid w:val="00D976D7"/>
    <w:rsid w:val="00DC3868"/>
    <w:rsid w:val="00E2443A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C8340"/>
  <w15:chartTrackingRefBased/>
  <w15:docId w15:val="{05BE9B2B-AACC-4DDE-A56E-17D6487F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3A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43A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43A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43A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43A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43A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43A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43A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43A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43A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43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4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4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443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443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443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44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44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44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443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24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43A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244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43A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244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43A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E244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43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244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443A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E2443A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a1"/>
    <w:uiPriority w:val="42"/>
    <w:qFormat/>
    <w:rsid w:val="00E2443A"/>
    <w:rPr>
      <w:kern w:val="0"/>
      <w:sz w:val="24"/>
      <w:szCs w:val="24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AB6C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B6C5C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B6C5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B6C5C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2026-05-21T07:41:00Z</dcterms:created>
  <dcterms:modified xsi:type="dcterms:W3CDTF">2026-05-22T03:15:00Z</dcterms:modified>
</cp:coreProperties>
</file>