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A7FC" w14:textId="77777777" w:rsidR="00BE12E7" w:rsidRDefault="00BE12E7" w:rsidP="00BE12E7">
      <w:pPr>
        <w:pageBreakBefore/>
        <w:spacing w:line="360" w:lineRule="auto"/>
        <w:rPr>
          <w:rFonts w:ascii="Times New Roman" w:hAnsi="Times New Roman" w:cs="Times New Roman"/>
          <w:b/>
          <w:bCs/>
          <w:position w:val="3"/>
        </w:rPr>
      </w:pPr>
      <w:r w:rsidRPr="0027738F">
        <w:rPr>
          <w:rFonts w:ascii="Times New Roman" w:hAnsi="Times New Roman" w:cs="Times New Roman" w:hint="eastAsia"/>
          <w:b/>
          <w:bCs/>
          <w:position w:val="3"/>
        </w:rPr>
        <w:t>Suppl</w:t>
      </w:r>
      <w:r w:rsidRPr="0027738F">
        <w:rPr>
          <w:rFonts w:ascii="Times New Roman" w:hAnsi="Times New Roman" w:cs="Times New Roman"/>
          <w:b/>
          <w:bCs/>
          <w:position w:val="3"/>
        </w:rPr>
        <w:t xml:space="preserve"> </w:t>
      </w:r>
      <w:r>
        <w:rPr>
          <w:rFonts w:ascii="Times New Roman" w:hAnsi="Times New Roman" w:cs="Times New Roman" w:hint="eastAsia"/>
          <w:b/>
          <w:bCs/>
          <w:position w:val="3"/>
        </w:rPr>
        <w:t>8</w:t>
      </w:r>
      <w:r>
        <w:rPr>
          <w:rFonts w:ascii="Times New Roman" w:hAnsi="Times New Roman" w:cs="Times New Roman"/>
          <w:b/>
          <w:bCs/>
          <w:position w:val="3"/>
        </w:rPr>
        <w:t>. Changes by interval analyses in a cardiopulmonary exercise test from the initial test to the 2</w:t>
      </w:r>
      <w:r>
        <w:rPr>
          <w:rFonts w:ascii="Times New Roman" w:hAnsi="Times New Roman" w:cs="Times New Roman"/>
          <w:b/>
          <w:bCs/>
          <w:position w:val="3"/>
          <w:vertAlign w:val="superscript"/>
        </w:rPr>
        <w:t>nd</w:t>
      </w:r>
      <w:r>
        <w:rPr>
          <w:rFonts w:ascii="Times New Roman" w:hAnsi="Times New Roman" w:cs="Times New Roman"/>
          <w:b/>
          <w:bCs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b/>
          <w:bCs/>
          <w:position w:val="3"/>
        </w:rPr>
        <w:t xml:space="preserve">with chronic heart failure </w:t>
      </w:r>
      <w:r>
        <w:rPr>
          <w:rFonts w:ascii="Times New Roman" w:hAnsi="Times New Roman" w:cs="Times New Roman"/>
          <w:b/>
          <w:bCs/>
          <w:position w:val="3"/>
        </w:rPr>
        <w:t>who participated in CR less than once a week and those who participated in CR once a week or more</w:t>
      </w:r>
    </w:p>
    <w:p w14:paraId="54974371" w14:textId="77777777" w:rsidR="00BE12E7" w:rsidRDefault="00BE12E7" w:rsidP="00BE12E7">
      <w:pPr>
        <w:spacing w:line="360" w:lineRule="auto"/>
        <w:rPr>
          <w:rFonts w:ascii="Times New Roman" w:hAnsi="Times New Roman" w:cs="Times New Roman"/>
          <w:position w:val="3"/>
        </w:rPr>
      </w:pPr>
      <w:r>
        <w:rPr>
          <w:rFonts w:ascii="Times New Roman" w:hAnsi="Times New Roman" w:cs="Times New Roman"/>
          <w:position w:val="3"/>
        </w:rPr>
        <w:t>The changes in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 xml:space="preserve"> slope, minimum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, OUES, and ΔVO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/ΔWR in the cardiopulmonary exercise test from the initial test to the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 in patients </w:t>
      </w:r>
      <w:r>
        <w:rPr>
          <w:rFonts w:ascii="Times New Roman" w:hAnsi="Times New Roman" w:cs="Times New Roman" w:hint="eastAsia"/>
          <w:position w:val="3"/>
        </w:rPr>
        <w:t xml:space="preserve">with chronic heart failure </w:t>
      </w:r>
      <w:r>
        <w:rPr>
          <w:rFonts w:ascii="Times New Roman" w:hAnsi="Times New Roman" w:cs="Times New Roman"/>
          <w:position w:val="3"/>
        </w:rPr>
        <w:t>who participated in CR less than once a week (a) and those who participated in CR once a week or more (b) are shown. * Indicates a significant difference between the initial and 2</w:t>
      </w:r>
      <w:r>
        <w:rPr>
          <w:rFonts w:ascii="Times New Roman" w:hAnsi="Times New Roman" w:cs="Times New Roman"/>
          <w:position w:val="3"/>
          <w:vertAlign w:val="superscript"/>
        </w:rPr>
        <w:t>nd</w:t>
      </w:r>
      <w:r>
        <w:rPr>
          <w:rFonts w:ascii="Times New Roman" w:hAnsi="Times New Roman" w:cs="Times New Roman"/>
          <w:position w:val="3"/>
        </w:rPr>
        <w:t xml:space="preserve"> tests. VE/VCO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; ventilation equivalent per carbon dioxide output, OUES; oxygen-uptake efficiency slope, ΔVO</w:t>
      </w:r>
      <w:r>
        <w:rPr>
          <w:rFonts w:ascii="Times New Roman" w:hAnsi="Times New Roman" w:cs="Times New Roman"/>
          <w:position w:val="3"/>
          <w:vertAlign w:val="subscript"/>
        </w:rPr>
        <w:t>2</w:t>
      </w:r>
      <w:r>
        <w:rPr>
          <w:rFonts w:ascii="Times New Roman" w:hAnsi="Times New Roman" w:cs="Times New Roman"/>
          <w:position w:val="3"/>
        </w:rPr>
        <w:t>/ΔWR; the ratio of the increase in oxygen uptake to the increase in work rate, AT; anaerobic threshold.</w:t>
      </w:r>
    </w:p>
    <w:p w14:paraId="4A03182C" w14:textId="77777777" w:rsidR="00BE12E7" w:rsidRPr="0027738F" w:rsidRDefault="00BE12E7" w:rsidP="00BE12E7">
      <w:pPr>
        <w:spacing w:line="360" w:lineRule="auto"/>
        <w:rPr>
          <w:rFonts w:ascii="Times New Roman" w:hAnsi="Times New Roman" w:cs="Times New Roman"/>
          <w:position w:val="3"/>
        </w:rPr>
      </w:pPr>
      <w:r w:rsidRPr="0027738F">
        <w:rPr>
          <w:rFonts w:ascii="Times New Roman" w:eastAsia="DengXian" w:hAnsi="Times New Roman" w:cs="Times New Roman"/>
          <w:noProof/>
          <w:position w:val="3"/>
          <w:lang w:eastAsia="zh-CN"/>
        </w:rPr>
        <w:drawing>
          <wp:inline distT="0" distB="0" distL="0" distR="0" wp14:anchorId="219B5027" wp14:editId="5E5EB651">
            <wp:extent cx="5400040" cy="2256155"/>
            <wp:effectExtent l="0" t="0" r="0" b="0"/>
            <wp:docPr id="82" name="図 81">
              <a:extLst xmlns:a="http://schemas.openxmlformats.org/drawingml/2006/main">
                <a:ext uri="{FF2B5EF4-FFF2-40B4-BE49-F238E27FC236}">
                  <a16:creationId xmlns:a16="http://schemas.microsoft.com/office/drawing/2014/main" id="{EC30F6C7-1B18-EBBC-CC8D-BDAF27889A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図 81">
                      <a:extLst>
                        <a:ext uri="{FF2B5EF4-FFF2-40B4-BE49-F238E27FC236}">
                          <a16:creationId xmlns:a16="http://schemas.microsoft.com/office/drawing/2014/main" id="{EC30F6C7-1B18-EBBC-CC8D-BDAF27889A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61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73C32CD1" w14:textId="77777777" w:rsidR="00BE12E7" w:rsidRDefault="00BE12E7" w:rsidP="00BE12E7"/>
    <w:p w14:paraId="22B0050F" w14:textId="77777777" w:rsidR="005C61CD" w:rsidRDefault="005C61CD"/>
    <w:sectPr w:rsidR="005C61CD" w:rsidSect="00BE12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CD"/>
    <w:rsid w:val="005C61CD"/>
    <w:rsid w:val="005F5F73"/>
    <w:rsid w:val="00B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37C6D-D57C-47AD-9C57-5BB26CAC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2026-04-25T10:58:00Z</dcterms:created>
  <dcterms:modified xsi:type="dcterms:W3CDTF">2026-04-25T10:58:00Z</dcterms:modified>
</cp:coreProperties>
</file>