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4BEE" w14:textId="77777777" w:rsidR="006D4567" w:rsidRPr="00E41DA4" w:rsidRDefault="006D4567" w:rsidP="006D4567">
      <w:pPr>
        <w:pageBreakBefore/>
        <w:widowControl w:val="0"/>
        <w:autoSpaceDE w:val="0"/>
        <w:autoSpaceDN w:val="0"/>
        <w:adjustRightInd w:val="0"/>
        <w:rPr>
          <w:rFonts w:ascii="Arial" w:eastAsia="Calibri" w:hAnsi="Arial"/>
          <w:b/>
          <w:sz w:val="22"/>
          <w:szCs w:val="22"/>
        </w:rPr>
      </w:pPr>
      <w:r>
        <w:rPr>
          <w:rFonts w:ascii="Arial" w:eastAsia="Calibri" w:hAnsi="Arial"/>
          <w:b/>
          <w:caps/>
          <w:sz w:val="22"/>
          <w:szCs w:val="22"/>
        </w:rPr>
        <w:t>S</w:t>
      </w:r>
      <w:r>
        <w:rPr>
          <w:rFonts w:ascii="Arial" w:eastAsia="Calibri" w:hAnsi="Arial"/>
          <w:b/>
          <w:sz w:val="22"/>
          <w:szCs w:val="22"/>
        </w:rPr>
        <w:t>uppl</w:t>
      </w:r>
      <w:r>
        <w:rPr>
          <w:rFonts w:ascii="Arial" w:eastAsia="Calibri" w:hAnsi="Arial"/>
          <w:b/>
          <w:caps/>
          <w:sz w:val="22"/>
          <w:szCs w:val="22"/>
        </w:rPr>
        <w:t xml:space="preserve"> </w:t>
      </w:r>
      <w:r w:rsidRPr="00E41DA4">
        <w:rPr>
          <w:rFonts w:ascii="Arial" w:eastAsia="Calibri" w:hAnsi="Arial"/>
          <w:b/>
          <w:sz w:val="22"/>
          <w:szCs w:val="22"/>
        </w:rPr>
        <w:t>1</w:t>
      </w:r>
      <w:r>
        <w:rPr>
          <w:rFonts w:ascii="Arial" w:eastAsia="Calibri" w:hAnsi="Arial"/>
          <w:b/>
          <w:sz w:val="22"/>
          <w:szCs w:val="22"/>
        </w:rPr>
        <w:t>.</w:t>
      </w:r>
      <w:r w:rsidRPr="00E41DA4">
        <w:rPr>
          <w:rFonts w:ascii="Arial" w:eastAsia="Calibri" w:hAnsi="Arial"/>
          <w:b/>
          <w:sz w:val="22"/>
          <w:szCs w:val="22"/>
        </w:rPr>
        <w:t xml:space="preserve"> </w:t>
      </w:r>
      <w:r w:rsidRPr="00AD7185">
        <w:rPr>
          <w:rFonts w:ascii="Arial" w:eastAsia="Calibri" w:hAnsi="Arial"/>
          <w:bCs/>
          <w:sz w:val="22"/>
          <w:szCs w:val="22"/>
        </w:rPr>
        <w:t xml:space="preserve">Baseline Characteristics by PAPi Cut-off Value </w:t>
      </w:r>
      <w:r w:rsidRPr="00AD7185">
        <w:rPr>
          <w:rFonts w:ascii="Arial" w:eastAsia="Calibri" w:hAnsi="Arial" w:cs="Arial"/>
          <w:bCs/>
          <w:sz w:val="22"/>
          <w:szCs w:val="22"/>
        </w:rPr>
        <w:t>&lt;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AD7185">
        <w:rPr>
          <w:rFonts w:ascii="Arial" w:eastAsia="Calibri" w:hAnsi="Arial"/>
          <w:bCs/>
          <w:sz w:val="22"/>
          <w:szCs w:val="22"/>
        </w:rPr>
        <w:t xml:space="preserve">3.55 Versus </w:t>
      </w:r>
      <w:r w:rsidRPr="00AD7185">
        <w:rPr>
          <w:rFonts w:ascii="Arial" w:eastAsia="Calibri" w:hAnsi="Arial" w:cs="Arial"/>
          <w:bCs/>
          <w:sz w:val="22"/>
          <w:szCs w:val="22"/>
        </w:rPr>
        <w:t>≥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AD7185">
        <w:rPr>
          <w:rFonts w:ascii="Arial" w:eastAsia="Calibri" w:hAnsi="Arial"/>
          <w:bCs/>
          <w:sz w:val="22"/>
          <w:szCs w:val="22"/>
        </w:rPr>
        <w:t>3.55</w:t>
      </w:r>
    </w:p>
    <w:p w14:paraId="0796CF4B" w14:textId="77777777" w:rsidR="006D4567" w:rsidRPr="00E41DA4" w:rsidRDefault="006D4567" w:rsidP="006D4567">
      <w:pPr>
        <w:widowControl w:val="0"/>
        <w:autoSpaceDE w:val="0"/>
        <w:autoSpaceDN w:val="0"/>
        <w:adjustRightInd w:val="0"/>
        <w:rPr>
          <w:rFonts w:ascii="Arial" w:eastAsia="Calibri" w:hAnsi="Arial"/>
          <w:b/>
          <w:sz w:val="22"/>
          <w:szCs w:val="22"/>
        </w:rPr>
      </w:pP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1"/>
        <w:gridCol w:w="2945"/>
        <w:gridCol w:w="2945"/>
        <w:gridCol w:w="2725"/>
        <w:gridCol w:w="224"/>
      </w:tblGrid>
      <w:tr w:rsidR="006D4567" w:rsidRPr="00E41DA4" w14:paraId="68DC548B" w14:textId="77777777" w:rsidTr="002178FA">
        <w:trPr>
          <w:trHeight w:val="144"/>
          <w:tblHeader/>
        </w:trPr>
        <w:tc>
          <w:tcPr>
            <w:tcW w:w="59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F9B1DF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39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CD8EBD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PAPi Value</w:t>
            </w:r>
          </w:p>
        </w:tc>
      </w:tr>
      <w:tr w:rsidR="006D4567" w:rsidRPr="00E41DA4" w14:paraId="5B792F80" w14:textId="77777777" w:rsidTr="002178FA">
        <w:trPr>
          <w:trHeight w:val="144"/>
          <w:tblHeader/>
        </w:trPr>
        <w:tc>
          <w:tcPr>
            <w:tcW w:w="592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7A4569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29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69B2052" w14:textId="77777777" w:rsidR="006D4567" w:rsidRPr="00013E7E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,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711)</w:t>
            </w:r>
          </w:p>
        </w:tc>
        <w:tc>
          <w:tcPr>
            <w:tcW w:w="29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33C37B" w14:textId="77777777" w:rsidR="006D4567" w:rsidRPr="00013E7E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n 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678)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4DF096B" w14:textId="77777777" w:rsidR="006D4567" w:rsidRPr="00013E7E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2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,</w:t>
            </w:r>
            <w:r w:rsidRPr="00013E7E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033)</w:t>
            </w:r>
          </w:p>
        </w:tc>
      </w:tr>
      <w:tr w:rsidR="006D4567" w:rsidRPr="00E41DA4" w14:paraId="22EE8EC5" w14:textId="77777777" w:rsidTr="002178FA">
        <w:trPr>
          <w:trHeight w:val="144"/>
        </w:trPr>
        <w:tc>
          <w:tcPr>
            <w:tcW w:w="5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5320355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Age, years</w:t>
            </w:r>
          </w:p>
        </w:tc>
        <w:tc>
          <w:tcPr>
            <w:tcW w:w="29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5AB1D6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093C73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04F72A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7CF27F45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D915" w14:textId="77777777" w:rsidR="006D4567" w:rsidRPr="00854508" w:rsidRDefault="006D4567" w:rsidP="002178FA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FD95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711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1A8D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678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7D9F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033</w:t>
            </w:r>
          </w:p>
        </w:tc>
      </w:tr>
      <w:tr w:rsidR="006D4567" w:rsidRPr="00E41DA4" w14:paraId="11AE8CDD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97B6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F98F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52.4 (14.7)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B723A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51.4 (13.9)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9EDA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52.8 (15.0)</w:t>
            </w:r>
          </w:p>
        </w:tc>
      </w:tr>
      <w:tr w:rsidR="006D4567" w:rsidRPr="00E41DA4" w14:paraId="2F02BDDB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EBD6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ind w:left="284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5A87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53.0 (42.4-63.3)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D653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51.4 (41.6-61.3)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052B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53.6 (42.7-63.8)</w:t>
            </w:r>
          </w:p>
        </w:tc>
      </w:tr>
      <w:tr w:rsidR="006D4567" w:rsidRPr="00E41DA4" w14:paraId="4D22944F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A3FF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Age at diagnosis, years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E20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32C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0A3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55994F99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085D9" w14:textId="77777777" w:rsidR="006D4567" w:rsidRPr="00854508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 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BA5E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711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97BF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678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5B12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033</w:t>
            </w:r>
          </w:p>
        </w:tc>
      </w:tr>
      <w:tr w:rsidR="006D4567" w:rsidRPr="00E41DA4" w14:paraId="643B3065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F904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FAD2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49.7 (15.5)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22FE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49.1 (14.2)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3AA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49.9 (16.0)</w:t>
            </w:r>
          </w:p>
        </w:tc>
      </w:tr>
      <w:tr w:rsidR="006D4567" w:rsidRPr="00E41DA4" w14:paraId="68F6A771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C8C2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9788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50.2 (39.0-61.1)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0B98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49.4 (38.7-59.2)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9CFD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50.5 (39.0-61.8)</w:t>
            </w:r>
          </w:p>
        </w:tc>
      </w:tr>
      <w:tr w:rsidR="006D4567" w:rsidRPr="00E41DA4" w14:paraId="77BB3AB5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2996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Sex,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E2B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1A1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894A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07D4119D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8178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Male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AA37A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561 (20.7)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E639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164 (24.2)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ED9B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397 (19.5)</w:t>
            </w:r>
          </w:p>
        </w:tc>
      </w:tr>
      <w:tr w:rsidR="006D4567" w:rsidRPr="00E41DA4" w14:paraId="209D8964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4615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Female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828D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150 (79.3)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49EB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514 (75.8)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8E88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636 (80.5)</w:t>
            </w:r>
          </w:p>
        </w:tc>
      </w:tr>
      <w:tr w:rsidR="006D4567" w:rsidRPr="00E41DA4" w14:paraId="202428A9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C8EF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Race,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076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8B47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FCA6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45AD6F2E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8961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White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1C64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969 (72.6)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127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480 (70.8)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1516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489 (73.2)</w:t>
            </w:r>
          </w:p>
        </w:tc>
      </w:tr>
      <w:tr w:rsidR="006D4567" w:rsidRPr="00E41DA4" w14:paraId="50D22D34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F147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Black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3AD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347 (12.8)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B8F5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112 (16.5)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5F34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235 (11.6)</w:t>
            </w:r>
          </w:p>
        </w:tc>
      </w:tr>
      <w:tr w:rsidR="006D4567" w:rsidRPr="00E41DA4" w14:paraId="3EF273CE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CF20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Hispanic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E54C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236 (8.7)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74CC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 (7.1)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8689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188 (9.2)</w:t>
            </w:r>
          </w:p>
        </w:tc>
      </w:tr>
      <w:tr w:rsidR="006D4567" w:rsidRPr="00E41DA4" w14:paraId="5F8C10B6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169B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Asian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A76A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86 (3.2)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052D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 (2.5)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5F67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69 (3.4)</w:t>
            </w:r>
          </w:p>
        </w:tc>
      </w:tr>
      <w:tr w:rsidR="006D4567" w:rsidRPr="00E41DA4" w14:paraId="5B6609C6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9F0C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Other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6FA4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 (2.7)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620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 (3.1)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CC59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 (2.6)</w:t>
            </w:r>
          </w:p>
        </w:tc>
      </w:tr>
      <w:tr w:rsidR="006D4567" w:rsidRPr="00E41DA4" w14:paraId="560AC089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1E6CA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BMI, kg/m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C8D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9E5A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454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224D72B7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91864" w14:textId="77777777" w:rsidR="006D4567" w:rsidRPr="00854508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99F4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587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F3BE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640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91A9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947</w:t>
            </w:r>
          </w:p>
        </w:tc>
      </w:tr>
      <w:tr w:rsidR="006D4567" w:rsidRPr="00E41DA4" w14:paraId="01FD521D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68CE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Mean (SD)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68A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28.3 (7.0)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5E0F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29.3 (7.4)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48D4A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27.9 (6.8)</w:t>
            </w:r>
          </w:p>
        </w:tc>
      </w:tr>
      <w:tr w:rsidR="006D4567" w:rsidRPr="00E41DA4" w14:paraId="1D6564E9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CA5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Median (IQR)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596F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27.1 (23.2-31.8)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C5C5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28.4 (24.2-33.1)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03A3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26.8 (23.0-31.5)</w:t>
            </w:r>
          </w:p>
        </w:tc>
      </w:tr>
      <w:tr w:rsidR="006D4567" w:rsidRPr="00E41DA4" w14:paraId="209C0E4B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D02D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2641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124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6C7D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38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D0B6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86</w:t>
            </w:r>
          </w:p>
        </w:tc>
      </w:tr>
      <w:tr w:rsidR="006D4567" w:rsidRPr="00E41DA4" w14:paraId="6CCF13FA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D27D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PAH Diagnosis,</w:t>
            </w:r>
            <w:r w:rsidRPr="00AD7185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 xml:space="preserve">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41F8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  <w:r w:rsidRPr="00F6456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E3FB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F3CC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C5ED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7AF503EB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4EA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Incident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CA3E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900 (33.2)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8AE1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248 (36.6)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B3B7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652 (32.1)</w:t>
            </w:r>
          </w:p>
        </w:tc>
      </w:tr>
      <w:tr w:rsidR="006D4567" w:rsidRPr="00E41DA4" w14:paraId="067D1D87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4375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Prevalent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C173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811 (66.8)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46B0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 (63.4)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BE78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381 (67.9)</w:t>
            </w:r>
          </w:p>
        </w:tc>
      </w:tr>
      <w:tr w:rsidR="006D4567" w:rsidRPr="00E41DA4" w14:paraId="7AE22506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2797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Diagnostic status,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41F8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  <w:r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CE9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2C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CDC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2AACFF45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3550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Newly diagnosed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3004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737 (27.2)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EB03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206 (30.4)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ACA3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531 (26.1)</w:t>
            </w:r>
          </w:p>
        </w:tc>
      </w:tr>
      <w:tr w:rsidR="006D4567" w:rsidRPr="00E41DA4" w14:paraId="56AA6CCA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9B8A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Previously diagnosed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EC0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974 (72.8)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7A5D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472 (69.6)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1955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502 (73.9)</w:t>
            </w:r>
          </w:p>
        </w:tc>
      </w:tr>
      <w:tr w:rsidR="006D4567" w:rsidRPr="00E41DA4" w14:paraId="3FEDCFE8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C60D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NYHA/WHO FC,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41F8F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C01A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476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60AE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71B89F50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DDEC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I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78C6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172 (7.1)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1E95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 (4.3)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08E1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146 (8.0)</w:t>
            </w:r>
          </w:p>
        </w:tc>
      </w:tr>
      <w:tr w:rsidR="006D4567" w:rsidRPr="00E41DA4" w14:paraId="78D9E4CB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4A37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II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0F41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843 (34.6)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1C01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181 (29.9)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438F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662 (36.2)</w:t>
            </w:r>
          </w:p>
        </w:tc>
      </w:tr>
      <w:tr w:rsidR="006D4567" w:rsidRPr="00E41DA4" w14:paraId="1B550807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B3F1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III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1805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256 (51.6)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69CD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331 (54.6)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CE11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925 (50.6)</w:t>
            </w:r>
          </w:p>
        </w:tc>
      </w:tr>
      <w:tr w:rsidR="006D4567" w:rsidRPr="00E41DA4" w14:paraId="29740D1A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1BD0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IV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C754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164 (6.7)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BFB2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68 (11.2)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0247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96 (5.2)</w:t>
            </w:r>
          </w:p>
        </w:tc>
      </w:tr>
      <w:tr w:rsidR="006D4567" w:rsidRPr="00E41DA4" w14:paraId="53AEFC4E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75B6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Missing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BABFB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276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1A34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72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FEF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204</w:t>
            </w:r>
          </w:p>
        </w:tc>
      </w:tr>
      <w:tr w:rsidR="006D4567" w:rsidRPr="00E41DA4" w14:paraId="70D09215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22D7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WHO Group I diagnosis,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785C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D347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216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6D4567" w:rsidRPr="00E41DA4" w14:paraId="7F7A95D4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120C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APAH – APAH – HIV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30A3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 (1.8)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AF7D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 (2.2)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26DC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 (1.7)</w:t>
            </w:r>
          </w:p>
        </w:tc>
      </w:tr>
      <w:tr w:rsidR="006D4567" w:rsidRPr="00E41DA4" w14:paraId="64F2B7EB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2CFB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APAH – Collagen vascular disease/connective tissue disease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86AE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708 (26.1)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96F8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180 (26.5)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7E7C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528 (26.0)</w:t>
            </w:r>
          </w:p>
        </w:tc>
      </w:tr>
      <w:tr w:rsidR="006D4567" w:rsidRPr="00E41DA4" w14:paraId="12FB4533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6A64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APAH – Congenital systemic-to-pulmonary shunts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6184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271 (10.0)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E733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 (3.7)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72F39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246 (12.1)</w:t>
            </w:r>
          </w:p>
        </w:tc>
      </w:tr>
      <w:tr w:rsidR="006D4567" w:rsidRPr="00E41DA4" w14:paraId="5CACD07C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A5E7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APAH – Drugs and toxins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5CF4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155 (5.7)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D691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50 (7.4)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4E40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105 (5.2)</w:t>
            </w:r>
          </w:p>
        </w:tc>
      </w:tr>
      <w:tr w:rsidR="006D4567" w:rsidRPr="00E41DA4" w14:paraId="00979323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70D1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APAH – Other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F439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 (1.2)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DB5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 (1.5)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E149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 (1.1)</w:t>
            </w:r>
          </w:p>
        </w:tc>
      </w:tr>
      <w:tr w:rsidR="006D4567" w:rsidRPr="00E41DA4" w14:paraId="20D79D1E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4496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APAH – Portal hypertension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F9C3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163 (6.0)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D85E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 (5.0)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5F2F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129 (6.3)</w:t>
            </w:r>
          </w:p>
        </w:tc>
      </w:tr>
      <w:tr w:rsidR="006D4567" w:rsidRPr="00E41DA4" w14:paraId="3F13A1E5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34D36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FPAH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5C4C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78 (2.9)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A7D3A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 (3.4)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F4B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55 (2.7)</w:t>
            </w:r>
          </w:p>
        </w:tc>
      </w:tr>
      <w:tr w:rsidR="006D4567" w:rsidRPr="00E41DA4" w14:paraId="0CA1D598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A09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IPAH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796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242 (45.8)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9700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338 (49.9)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C9F8D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904 (44.5)</w:t>
            </w:r>
          </w:p>
        </w:tc>
      </w:tr>
      <w:tr w:rsidR="006D4567" w:rsidRPr="00E41DA4" w14:paraId="62FABA70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BD4E0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Pulmonary capillary hemangiomatosis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2791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(0.04)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CD194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1139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(0.05)</w:t>
            </w:r>
          </w:p>
        </w:tc>
      </w:tr>
      <w:tr w:rsidR="006D4567" w:rsidRPr="00E41DA4" w14:paraId="70E17B32" w14:textId="77777777" w:rsidTr="002178FA">
        <w:trPr>
          <w:trHeight w:val="144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F484F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    Pulmonary veno-occlusive disease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5CE92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 (0.4)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2A901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 (0.4)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A6FD8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 (0.4)</w:t>
            </w:r>
          </w:p>
        </w:tc>
      </w:tr>
      <w:tr w:rsidR="006D4567" w:rsidRPr="00E41DA4" w14:paraId="5E155CC0" w14:textId="77777777" w:rsidTr="002178FA">
        <w:tblPrEx>
          <w:tblLook w:val="0000" w:firstRow="0" w:lastRow="0" w:firstColumn="0" w:lastColumn="0" w:noHBand="0" w:noVBand="0"/>
        </w:tblPrEx>
        <w:trPr>
          <w:gridAfter w:val="1"/>
          <w:wAfter w:w="224" w:type="dxa"/>
          <w:trHeight w:val="144"/>
        </w:trPr>
        <w:tc>
          <w:tcPr>
            <w:tcW w:w="1453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540232E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F6456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a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Incident cases were defined as patients who received a diagnosis of PAH confirmed by RHC during study recruitment; prevalent cases were defined as patients diagnosed prior to the start of the </w:t>
            </w:r>
            <w:r w:rsidRPr="00B510A8">
              <w:rPr>
                <w:rFonts w:ascii="Arial" w:eastAsia="MS Mincho" w:hAnsi="Arial" w:cs="Arial"/>
                <w:sz w:val="18"/>
                <w:szCs w:val="18"/>
              </w:rPr>
              <w:t>study</w:t>
            </w:r>
            <w:r w:rsidRPr="00F64567">
              <w:rPr>
                <w:rFonts w:ascii="Arial" w:eastAsia="MS Mincho" w:hAnsi="Arial" w:cs="Arial"/>
                <w:sz w:val="18"/>
                <w:szCs w:val="18"/>
              </w:rPr>
              <w:t xml:space="preserve"> [1]</w:t>
            </w:r>
            <w:r w:rsidRPr="00B510A8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5892527B" w14:textId="77777777" w:rsidR="006D4567" w:rsidRDefault="006D4567" w:rsidP="002178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MS Mincho" w:hAnsi="Arial" w:cs="Arial"/>
                <w:sz w:val="18"/>
                <w:szCs w:val="18"/>
                <w:vertAlign w:val="superscript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lastRenderedPageBreak/>
              <w:t>b</w:t>
            </w:r>
            <w:bookmarkStart w:id="0" w:name="_Hlk176880917"/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Patients were deemed newly diagnosed if the qualifying RHC was performed within the 3 months preceding enrollment to REVEAL, and previously diagnosed if the qualifying RHC was prior to the 3 months before </w:t>
            </w:r>
            <w:r w:rsidRPr="00B510A8">
              <w:rPr>
                <w:rFonts w:ascii="Arial" w:eastAsia="MS Mincho" w:hAnsi="Arial" w:cs="Arial"/>
                <w:sz w:val="18"/>
                <w:szCs w:val="18"/>
              </w:rPr>
              <w:t>enrollment</w:t>
            </w:r>
            <w:r w:rsidRPr="00F64567">
              <w:rPr>
                <w:rFonts w:ascii="Arial" w:eastAsia="MS Mincho" w:hAnsi="Arial" w:cs="Arial"/>
                <w:sz w:val="18"/>
                <w:szCs w:val="18"/>
              </w:rPr>
              <w:t xml:space="preserve"> [1]</w:t>
            </w:r>
            <w:r w:rsidRPr="00B510A8">
              <w:rPr>
                <w:rFonts w:ascii="Arial" w:eastAsia="MS Mincho" w:hAnsi="Arial" w:cs="Arial"/>
                <w:sz w:val="18"/>
                <w:szCs w:val="18"/>
              </w:rPr>
              <w:t>.</w:t>
            </w:r>
            <w:bookmarkEnd w:id="0"/>
          </w:p>
          <w:p w14:paraId="0073306C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associated PAH; BMI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body mass index; FC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functional class; FPAH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familial PAH; HIV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human immunodeficiency virus; IPAH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idiopathic PAH; IQR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interquartile range; NYHA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New York Heart Association; PAH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pulmonary arterial hypertension; PAPi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pulmonary artery pulsatility index; REVEAL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Registry to Evaluate Early and Long-Term PAH Disease Management; RHC</w:t>
            </w:r>
            <w:r>
              <w:rPr>
                <w:rFonts w:ascii="Arial" w:eastAsia="MS Mincho" w:hAnsi="Arial" w:cs="Arial"/>
                <w:sz w:val="18"/>
                <w:szCs w:val="18"/>
              </w:rPr>
              <w:t>: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right heart catheterization; SD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standard deviation; WHO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: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World Health Organization.</w:t>
            </w:r>
          </w:p>
        </w:tc>
      </w:tr>
      <w:tr w:rsidR="006D4567" w:rsidRPr="00E41DA4" w14:paraId="6F485495" w14:textId="77777777" w:rsidTr="002178FA">
        <w:tblPrEx>
          <w:tblLook w:val="0000" w:firstRow="0" w:lastRow="0" w:firstColumn="0" w:lastColumn="0" w:noHBand="0" w:noVBand="0"/>
        </w:tblPrEx>
        <w:trPr>
          <w:gridAfter w:val="1"/>
          <w:wAfter w:w="224" w:type="dxa"/>
          <w:trHeight w:val="144"/>
        </w:trPr>
        <w:tc>
          <w:tcPr>
            <w:tcW w:w="1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41075" w14:textId="77777777" w:rsidR="006D4567" w:rsidRPr="00E41DA4" w:rsidRDefault="006D4567" w:rsidP="002178FA">
            <w:pPr>
              <w:widowControl w:val="0"/>
              <w:autoSpaceDE w:val="0"/>
              <w:autoSpaceDN w:val="0"/>
              <w:adjustRightInd w:val="0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</w:tbl>
    <w:p w14:paraId="10AE93EC" w14:textId="77777777" w:rsidR="00732C61" w:rsidRDefault="00732C61"/>
    <w:p w14:paraId="16CEDD9F" w14:textId="77777777" w:rsidR="005455C5" w:rsidRDefault="005455C5"/>
    <w:p w14:paraId="62972E31" w14:textId="77777777" w:rsidR="005455C5" w:rsidRPr="00F64567" w:rsidRDefault="005455C5" w:rsidP="005455C5">
      <w:pPr>
        <w:spacing w:before="120" w:after="120"/>
        <w:rPr>
          <w:rFonts w:ascii="Arial" w:hAnsi="Arial" w:cs="Arial"/>
          <w:b/>
          <w:bCs/>
        </w:rPr>
      </w:pPr>
      <w:r w:rsidRPr="00F64567">
        <w:rPr>
          <w:rFonts w:ascii="Arial" w:hAnsi="Arial" w:cs="Arial"/>
          <w:b/>
          <w:bCs/>
        </w:rPr>
        <w:t>Reference</w:t>
      </w:r>
    </w:p>
    <w:p w14:paraId="5CD3EF22" w14:textId="77777777" w:rsidR="005455C5" w:rsidRPr="00AC1B67" w:rsidRDefault="005455C5" w:rsidP="005455C5">
      <w:pPr>
        <w:pStyle w:val="EndNoteBibliography"/>
        <w:spacing w:after="240"/>
        <w:rPr>
          <w:rStyle w:val="None"/>
        </w:rPr>
      </w:pPr>
      <w:r>
        <w:rPr>
          <w:rStyle w:val="None"/>
        </w:rPr>
        <w:t>1</w:t>
      </w:r>
      <w:r w:rsidRPr="00AC1B67">
        <w:rPr>
          <w:rStyle w:val="None"/>
        </w:rPr>
        <w:t xml:space="preserve">. McGoon MD, Miller DP. REVEAL: a contemporary US pulmonary arterial hypertension registry. </w:t>
      </w:r>
      <w:r w:rsidRPr="00AC1B67">
        <w:rPr>
          <w:rStyle w:val="None"/>
          <w:lang w:val="de-DE"/>
        </w:rPr>
        <w:t>Eur Respir Rev.</w:t>
      </w:r>
      <w:r w:rsidRPr="00AC1B67">
        <w:rPr>
          <w:rStyle w:val="None"/>
        </w:rPr>
        <w:t xml:space="preserve"> 2012;21(123):8-18. </w:t>
      </w:r>
    </w:p>
    <w:p w14:paraId="688C1F3C" w14:textId="77777777" w:rsidR="005455C5" w:rsidRDefault="005455C5"/>
    <w:sectPr w:rsidR="005455C5" w:rsidSect="00302952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61"/>
    <w:rsid w:val="00302952"/>
    <w:rsid w:val="005455C5"/>
    <w:rsid w:val="006D4567"/>
    <w:rsid w:val="00732C61"/>
    <w:rsid w:val="00B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E993"/>
  <w15:chartTrackingRefBased/>
  <w15:docId w15:val="{6380C36D-B15C-4CD2-8890-E3E25035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C61"/>
    <w:rPr>
      <w:b/>
      <w:bCs/>
      <w:smallCaps/>
      <w:color w:val="2F5496" w:themeColor="accent1" w:themeShade="BF"/>
      <w:spacing w:val="5"/>
    </w:rPr>
  </w:style>
  <w:style w:type="character" w:customStyle="1" w:styleId="None">
    <w:name w:val="None"/>
    <w:rsid w:val="005455C5"/>
  </w:style>
  <w:style w:type="paragraph" w:customStyle="1" w:styleId="EndNoteBibliography">
    <w:name w:val="EndNote Bibliography"/>
    <w:link w:val="EndNoteBibliographyChar"/>
    <w:rsid w:val="005455C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5455C5"/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2026-05-25T01:39:00Z</dcterms:created>
  <dcterms:modified xsi:type="dcterms:W3CDTF">2026-05-25T01:44:00Z</dcterms:modified>
</cp:coreProperties>
</file>