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3684" w14:textId="77777777" w:rsidR="00971AA8" w:rsidRPr="00E41DA4" w:rsidRDefault="00971AA8" w:rsidP="00971AA8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</w:rPr>
      </w:pPr>
      <w:r w:rsidRPr="00ED385E">
        <w:rPr>
          <w:rFonts w:ascii="Arial" w:eastAsia="MS Mincho" w:hAnsi="Arial" w:cs="Arial"/>
          <w:b/>
          <w:bCs/>
          <w:caps/>
          <w:sz w:val="22"/>
          <w:szCs w:val="22"/>
        </w:rPr>
        <w:t>S</w:t>
      </w:r>
      <w:r w:rsidRPr="00ED385E">
        <w:rPr>
          <w:rFonts w:ascii="Arial" w:eastAsia="MS Mincho" w:hAnsi="Arial" w:cs="Arial"/>
          <w:b/>
          <w:bCs/>
          <w:sz w:val="22"/>
          <w:szCs w:val="22"/>
        </w:rPr>
        <w:t>uppl</w:t>
      </w:r>
      <w:r w:rsidRPr="00ED385E">
        <w:rPr>
          <w:rFonts w:ascii="Arial" w:eastAsia="MS Mincho" w:hAnsi="Arial" w:cs="Arial"/>
          <w:b/>
          <w:bCs/>
          <w:caps/>
          <w:sz w:val="22"/>
          <w:szCs w:val="22"/>
        </w:rPr>
        <w:t xml:space="preserve"> </w:t>
      </w:r>
      <w:r w:rsidRPr="00E41DA4">
        <w:rPr>
          <w:rFonts w:ascii="Arial" w:eastAsia="MS Mincho" w:hAnsi="Arial" w:cs="Arial"/>
          <w:b/>
          <w:bCs/>
          <w:sz w:val="22"/>
          <w:szCs w:val="22"/>
        </w:rPr>
        <w:t>4</w:t>
      </w:r>
      <w:r>
        <w:rPr>
          <w:rFonts w:ascii="Arial" w:eastAsia="MS Mincho" w:hAnsi="Arial" w:cs="Arial"/>
          <w:b/>
          <w:bCs/>
          <w:sz w:val="22"/>
          <w:szCs w:val="22"/>
        </w:rPr>
        <w:t>.</w:t>
      </w:r>
      <w:r w:rsidRPr="00E41DA4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AD7185">
        <w:rPr>
          <w:rFonts w:ascii="Arial" w:eastAsia="MS Mincho" w:hAnsi="Arial" w:cs="Arial"/>
          <w:sz w:val="22"/>
          <w:szCs w:val="22"/>
        </w:rPr>
        <w:t>Baseline Characteristics by PAPi Quartile: Incident Group</w:t>
      </w:r>
    </w:p>
    <w:p w14:paraId="12BE4F88" w14:textId="77777777" w:rsidR="00971AA8" w:rsidRPr="00E41DA4" w:rsidRDefault="00971AA8" w:rsidP="00971AA8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1433"/>
        <w:gridCol w:w="1498"/>
        <w:gridCol w:w="1498"/>
        <w:gridCol w:w="1498"/>
        <w:gridCol w:w="1502"/>
      </w:tblGrid>
      <w:tr w:rsidR="00971AA8" w:rsidRPr="00E41DA4" w14:paraId="22A5DD26" w14:textId="77777777" w:rsidTr="002178FA">
        <w:trPr>
          <w:trHeight w:val="144"/>
          <w:tblHeader/>
        </w:trPr>
        <w:tc>
          <w:tcPr>
            <w:tcW w:w="868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9FDC543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2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7855F4E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PAPi Quartile</w:t>
            </w:r>
          </w:p>
        </w:tc>
      </w:tr>
      <w:tr w:rsidR="00971AA8" w:rsidRPr="00E41DA4" w14:paraId="256CFD52" w14:textId="77777777" w:rsidTr="002178FA">
        <w:trPr>
          <w:trHeight w:val="144"/>
          <w:tblHeader/>
        </w:trPr>
        <w:tc>
          <w:tcPr>
            <w:tcW w:w="868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021BBEB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798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932FA4B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Overall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900)</w:t>
            </w:r>
          </w:p>
        </w:tc>
        <w:tc>
          <w:tcPr>
            <w:tcW w:w="833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3B8D381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248)</w:t>
            </w:r>
          </w:p>
        </w:tc>
        <w:tc>
          <w:tcPr>
            <w:tcW w:w="833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496E7EA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 to 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5.5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= 243)</w:t>
            </w:r>
          </w:p>
        </w:tc>
        <w:tc>
          <w:tcPr>
            <w:tcW w:w="833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C4BACC8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5.5 to 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9.0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207)</w:t>
            </w:r>
          </w:p>
        </w:tc>
        <w:tc>
          <w:tcPr>
            <w:tcW w:w="834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E307E5F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9.0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195171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202)</w:t>
            </w:r>
          </w:p>
        </w:tc>
      </w:tr>
      <w:tr w:rsidR="00971AA8" w:rsidRPr="00E41DA4" w14:paraId="18E3FD1C" w14:textId="77777777" w:rsidTr="002178FA">
        <w:trPr>
          <w:trHeight w:val="144"/>
        </w:trPr>
        <w:tc>
          <w:tcPr>
            <w:tcW w:w="868" w:type="pct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613F0189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Age, years</w:t>
            </w:r>
          </w:p>
        </w:tc>
        <w:tc>
          <w:tcPr>
            <w:tcW w:w="798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2AE14D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D121C78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DAE4BD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85E288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5033E7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71AA8" w:rsidRPr="00E41DA4" w14:paraId="4689EC61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71ECFD" w14:textId="77777777" w:rsidR="00971AA8" w:rsidRPr="00854508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9DB39A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900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FFE101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248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67B6D6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243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DDF08D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207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6255FF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202</w:t>
            </w:r>
          </w:p>
        </w:tc>
      </w:tr>
      <w:tr w:rsidR="00971AA8" w:rsidRPr="00E41DA4" w14:paraId="0B9BB3A5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E2FCA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BC1719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53.8 (15.4)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CEF532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51.9 (14.6)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A15435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54.7 (15.4)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285550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56.3 (15.1)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5DB2A9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52.4 (16.2)</w:t>
            </w:r>
          </w:p>
        </w:tc>
      </w:tr>
      <w:tr w:rsidR="00971AA8" w:rsidRPr="00E41DA4" w14:paraId="66502D97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4787E5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55CEC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54.6 (43.2-65.3)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3A7F9B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51.4 (42.0-62.4)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3E4E27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55.7 (44.9-65.0)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48F6C7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57.1 (45.1-67.9)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2FE425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54.4 (40.4-64.4)</w:t>
            </w:r>
          </w:p>
        </w:tc>
      </w:tr>
      <w:tr w:rsidR="00971AA8" w:rsidRPr="00E41DA4" w14:paraId="6EAA780C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F1E501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Age at diagnosis, years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56EB2776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1655BA61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71DBCCEA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18511742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79F60854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71AA8" w:rsidRPr="00E41DA4" w14:paraId="736A6972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CC562E" w14:textId="77777777" w:rsidR="00971AA8" w:rsidRPr="00854508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12D2E3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900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3146CC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248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75F560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243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5321B1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207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405785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202</w:t>
            </w:r>
          </w:p>
        </w:tc>
      </w:tr>
      <w:tr w:rsidR="00971AA8" w:rsidRPr="00E41DA4" w14:paraId="5ACD8B72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5C3C57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83AE3E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53.7 (15.4)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C07C27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51.8 (14.6)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67D947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54.6 (15.4)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77553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56.2 (15.1)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2CC6A6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52.3 (16.2)</w:t>
            </w:r>
          </w:p>
        </w:tc>
      </w:tr>
      <w:tr w:rsidR="00971AA8" w:rsidRPr="00E41DA4" w14:paraId="76BEADE4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6B76A6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B376CD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54.4 (43.1-65.2)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E16EAA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51.3 (42.0-62.3)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5F4195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55.6 (44.7-64.8)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63B217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56.9 (44.9-67.9)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408B3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54.2 (40.2-64.4)</w:t>
            </w:r>
          </w:p>
        </w:tc>
      </w:tr>
      <w:tr w:rsidR="00971AA8" w:rsidRPr="00E41DA4" w14:paraId="413CEBD3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21EF21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 xml:space="preserve">Sex,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195171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0CDF7CAA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74BE37A8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406A272F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436E195B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71CF8562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71AA8" w:rsidRPr="00E41DA4" w14:paraId="4E2084FE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2FD4CB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Male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03531B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203 (22.6)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97E0BD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69 (27.8)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9599C4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61 (25.1)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38A548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35 (16.9)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299406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38 (18.8)</w:t>
            </w:r>
          </w:p>
        </w:tc>
      </w:tr>
      <w:tr w:rsidR="00971AA8" w:rsidRPr="00E41DA4" w14:paraId="6AA454D0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9AE3CE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Female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224660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697 (77.4)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F2CA55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179 (72.2)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490994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182 (74.9)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013F6B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172 (83.1)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EABEBF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164 (81.2)</w:t>
            </w:r>
          </w:p>
        </w:tc>
      </w:tr>
      <w:tr w:rsidR="00971AA8" w:rsidRPr="00E41DA4" w14:paraId="4F0930B0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56AEF1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 xml:space="preserve">Race,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195171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4182254C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38DDB4F8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2C745833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066868A9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6E83BD7C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71AA8" w:rsidRPr="00E41DA4" w14:paraId="658EFFF9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9DA67B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White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088EA7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649 (72.1)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5591EE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172 (69.4)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CC3BA4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176 (72.4)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18D6DF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158 (76.3)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F8101D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143 (70.8)</w:t>
            </w:r>
          </w:p>
        </w:tc>
      </w:tr>
      <w:tr w:rsidR="00971AA8" w:rsidRPr="00E41DA4" w14:paraId="7E7161BD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FEF2B0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Black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B10DC0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120 (13.3)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6940FD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47 (19.0)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EEF344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31 (12.8)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F74ADF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19 (9.2)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003EAE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23 (11.4)</w:t>
            </w:r>
          </w:p>
        </w:tc>
      </w:tr>
      <w:tr w:rsidR="00971AA8" w:rsidRPr="00E41DA4" w14:paraId="6B197A9F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BF8944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Hispanic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01EE69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69 (7.7)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2423E2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15 (6.0)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818B1E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18 (7.4)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C2B498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18 (8.7)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971BFD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18 (8.9)</w:t>
            </w:r>
          </w:p>
        </w:tc>
      </w:tr>
      <w:tr w:rsidR="00971AA8" w:rsidRPr="00E41DA4" w14:paraId="3D9AF5EB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820B10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Asian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EF54D4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25 (2.8)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96380F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4 (1.6)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F178A2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8 (3.3)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A8E2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 (1.0)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34AB42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11 (5.4)</w:t>
            </w:r>
          </w:p>
        </w:tc>
      </w:tr>
      <w:tr w:rsidR="00971AA8" w:rsidRPr="00E41DA4" w14:paraId="4CCC29C8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D90445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Other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85CB58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37 (4.1)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D6C79C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10 (4.0)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480F2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10 (4.1)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C36C28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10 (4.8)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8DC66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7 (3.5)</w:t>
            </w:r>
          </w:p>
        </w:tc>
      </w:tr>
      <w:tr w:rsidR="00971AA8" w:rsidRPr="00E41DA4" w14:paraId="0BCA8D02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6BCE6C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BMI, kg/m</w:t>
            </w:r>
            <w:r w:rsidRPr="00195171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75DAED3B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6ACBF521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2D87E734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51BD853D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6EAD5CB5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71AA8" w:rsidRPr="00E41DA4" w14:paraId="202E7895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9045F0" w14:textId="77777777" w:rsidR="00971AA8" w:rsidRPr="00854508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D7FB93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847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DB2C1D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228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383C17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232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65F2E1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194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23883D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193</w:t>
            </w:r>
          </w:p>
        </w:tc>
      </w:tr>
      <w:tr w:rsidR="00971AA8" w:rsidRPr="00E41DA4" w14:paraId="74AE7A39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D4BF9A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C737C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28.8 (7.3)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B2EBE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29.8 (7.5)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03836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30.3 (7.8)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933E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27.5 (6.0)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58046C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27.3 (7.1)</w:t>
            </w:r>
          </w:p>
        </w:tc>
      </w:tr>
      <w:tr w:rsidR="00971AA8" w:rsidRPr="00E41DA4" w14:paraId="234C0BC7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93D87D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E50FF3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27.8 (23.7-32.7)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A19D44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29.0 (24.3-33.8)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1B183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29.2 (25.1-34.9)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7BC53A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26.6 (23.3-31.1)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4A091B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25.9 (21.7-31.2)</w:t>
            </w:r>
          </w:p>
        </w:tc>
      </w:tr>
      <w:tr w:rsidR="00971AA8" w:rsidRPr="00E41DA4" w14:paraId="5C1E9AB4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6CA942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A62C4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FCAD4E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914E3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71AB3C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C2D2D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</w:t>
            </w:r>
          </w:p>
        </w:tc>
      </w:tr>
      <w:tr w:rsidR="00971AA8" w:rsidRPr="00E41DA4" w14:paraId="21F75593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1D21F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 xml:space="preserve">PAH Diagnosis,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195171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3586A3DD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09491C65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54D310A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4031C455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5045D488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71AA8" w:rsidRPr="00E41DA4" w14:paraId="067C19AA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9ABF05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Incident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EFBC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900 (100)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2D0C4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248 (100)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3BFE17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243 (100)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8FA873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207 (100)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3E136D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202 (100)</w:t>
            </w:r>
          </w:p>
        </w:tc>
      </w:tr>
      <w:tr w:rsidR="00971AA8" w:rsidRPr="00E41DA4" w14:paraId="73FEB03A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F132CC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 xml:space="preserve">Diagnostic status,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195171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  <w:r w:rsidRPr="00F64567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7D36A41B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3442A48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7BADDD13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5807178A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231EE9DE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71AA8" w:rsidRPr="00E41DA4" w14:paraId="2D537ECB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BBA552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>Newly diagnosed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C2053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737 (81.9)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4E10CD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206 (83.1)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E766D0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199 (81.9)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5FE0F9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165 (79.7)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469F2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167 (82.7)</w:t>
            </w:r>
          </w:p>
        </w:tc>
      </w:tr>
      <w:tr w:rsidR="00971AA8" w:rsidRPr="00E41DA4" w14:paraId="00649AA0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34085C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lastRenderedPageBreak/>
              <w:t>Previously diagnosed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31B0BA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163 (18.1)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559A6C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 (16.9)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120CAE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44 (18.1)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7D5B30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 (20.3)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FEA19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 (17.3)</w:t>
            </w:r>
          </w:p>
        </w:tc>
      </w:tr>
      <w:tr w:rsidR="00971AA8" w:rsidRPr="00E41DA4" w14:paraId="0BC9618E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CAD64" w14:textId="77777777" w:rsidR="00971AA8" w:rsidRPr="00195171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195171">
              <w:rPr>
                <w:rFonts w:ascii="Arial" w:eastAsia="MS Mincho" w:hAnsi="Arial" w:cs="Arial"/>
                <w:sz w:val="18"/>
                <w:szCs w:val="18"/>
              </w:rPr>
              <w:t xml:space="preserve">NYHA/WHO FC,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195171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</w:tcPr>
          <w:p w14:paraId="65E490D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0C94B90F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408C3616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5E03C853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14:paraId="52290C4A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71AA8" w:rsidRPr="00E41DA4" w14:paraId="70A65834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B042ED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I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045CBB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 (4.0)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665B95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 (1.9)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D44150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 (2.3)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DA8043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 (5.1)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778140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 (7.6)</w:t>
            </w:r>
          </w:p>
        </w:tc>
      </w:tr>
      <w:tr w:rsidR="00971AA8" w:rsidRPr="00E41DA4" w14:paraId="01D821D2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92A89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II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59AF3F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189 (24.4)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A4E54C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39 (18.5)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FD4D2E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56 (25.9)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86BCDE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45 (25.6)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884B7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 (28.5)</w:t>
            </w:r>
          </w:p>
        </w:tc>
      </w:tr>
      <w:tr w:rsidR="00971AA8" w:rsidRPr="00E41DA4" w14:paraId="1993D106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9637C0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III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59F03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459 (59.2)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213E7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122 (57.8)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924847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135 (62.5)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EBB0F3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105 (59.7)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023A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97 (56.4)</w:t>
            </w:r>
          </w:p>
        </w:tc>
      </w:tr>
      <w:tr w:rsidR="00971AA8" w:rsidRPr="00E41DA4" w14:paraId="21D6E015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C69EA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IV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C0835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96 (12.4)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7AABCB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46 (21.8)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1D5DC5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 (9.3)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A30BF0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17 (9.7)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0DA099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 (7.6)</w:t>
            </w:r>
          </w:p>
        </w:tc>
      </w:tr>
      <w:tr w:rsidR="00971AA8" w:rsidRPr="00E41DA4" w14:paraId="26449490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5F3894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Missing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0A7363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125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F96CD6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13FB5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85E73D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04B29A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30</w:t>
            </w:r>
          </w:p>
        </w:tc>
      </w:tr>
      <w:tr w:rsidR="00971AA8" w:rsidRPr="00E41DA4" w14:paraId="2BE25565" w14:textId="77777777" w:rsidTr="002178FA">
        <w:trPr>
          <w:trHeight w:val="144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004314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WHO Group I diagnosis,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971AA8" w:rsidRPr="00E41DA4" w14:paraId="2F365140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F2C1CF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APAH – HIV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01EBEF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 (1.7)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C4D91C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 (2.4)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C9E43B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 (1.6)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459C34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 (1.0)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6389A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 (1.5)</w:t>
            </w:r>
          </w:p>
        </w:tc>
      </w:tr>
      <w:tr w:rsidR="00971AA8" w:rsidRPr="00E41DA4" w14:paraId="6ACE26FF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D7CDE7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Collagen vascular disease/connective tissue disease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0305F6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278 (30.9)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088F8D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74 (29.8)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77DE40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68 (28.0)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9628C6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 (33.3)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A70094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 (33.2)</w:t>
            </w:r>
          </w:p>
        </w:tc>
      </w:tr>
      <w:tr w:rsidR="00971AA8" w:rsidRPr="00E41DA4" w14:paraId="6C8E6A42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B00CC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Congenital systemic-to-pulmonary shunts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A44D5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45 (5.0)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CF9E75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 (2.4)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FEE1D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 (4.5)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29FDAC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 (4.8)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574CC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 (8.9)</w:t>
            </w:r>
          </w:p>
        </w:tc>
      </w:tr>
      <w:tr w:rsidR="00971AA8" w:rsidRPr="00E41DA4" w14:paraId="712777EC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F5000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Drugs and toxins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FCEABD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 (4.6)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C62D39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 (5.2)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C1D85F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 (4.1)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96873B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 (5.3)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CED0A7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 (3.5)</w:t>
            </w:r>
          </w:p>
        </w:tc>
      </w:tr>
      <w:tr w:rsidR="00971AA8" w:rsidRPr="00E41DA4" w14:paraId="1EA11242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309019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Other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14D03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 (1.1)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83E215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 (0.8)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852A40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 (2.1)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B2C560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 (1.0)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4AAB78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 (0.5)</w:t>
            </w:r>
          </w:p>
        </w:tc>
      </w:tr>
      <w:tr w:rsidR="00971AA8" w:rsidRPr="00E41DA4" w14:paraId="34861310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46249A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Portal Hypertension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F6EB6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65 (7.2)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B0D45C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 (6.5)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CFAB6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 (7.8)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EE9FE6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 (5.3)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791778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 (9.4)</w:t>
            </w:r>
          </w:p>
        </w:tc>
      </w:tr>
      <w:tr w:rsidR="00971AA8" w:rsidRPr="00E41DA4" w14:paraId="20639DA8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9616B2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FPAH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F161E4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22 (2.4)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51649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 (1.2)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74B9AD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 (3.3)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03DC7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 (1.9)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2CB689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 (3.5)</w:t>
            </w:r>
          </w:p>
        </w:tc>
      </w:tr>
      <w:tr w:rsidR="00971AA8" w:rsidRPr="00E41DA4" w14:paraId="1408A75F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right w:val="nil"/>
            </w:tcBorders>
            <w:hideMark/>
          </w:tcPr>
          <w:p w14:paraId="28A4017C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IPAH</w:t>
            </w:r>
          </w:p>
        </w:tc>
        <w:tc>
          <w:tcPr>
            <w:tcW w:w="798" w:type="pct"/>
            <w:tcBorders>
              <w:top w:val="nil"/>
              <w:left w:val="nil"/>
              <w:right w:val="nil"/>
            </w:tcBorders>
            <w:hideMark/>
          </w:tcPr>
          <w:p w14:paraId="36D9C884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418 (46.4)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hideMark/>
          </w:tcPr>
          <w:p w14:paraId="5BEE3AF4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125 (50.4)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hideMark/>
          </w:tcPr>
          <w:p w14:paraId="5D589C06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116 (47.7)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hideMark/>
          </w:tcPr>
          <w:p w14:paraId="2B6675E9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97 (46.9)</w:t>
            </w: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  <w:hideMark/>
          </w:tcPr>
          <w:p w14:paraId="14C63C6C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80 (39.6)</w:t>
            </w:r>
          </w:p>
        </w:tc>
      </w:tr>
      <w:tr w:rsidR="00971AA8" w:rsidRPr="00E41DA4" w14:paraId="719079DE" w14:textId="77777777" w:rsidTr="002178FA">
        <w:trPr>
          <w:trHeight w:val="144"/>
        </w:trPr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099A77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Pulmonary veno-occlusive disease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778E7D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 (0.7)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A22149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 (1.2)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E3B920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 (0.8)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41BEAB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 (0.5)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3C68E1" w14:textId="77777777" w:rsidR="00971AA8" w:rsidRPr="00E41DA4" w:rsidRDefault="00971AA8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0 </w:t>
            </w:r>
          </w:p>
        </w:tc>
      </w:tr>
    </w:tbl>
    <w:p w14:paraId="4EA03CB3" w14:textId="77777777" w:rsidR="00971AA8" w:rsidRDefault="00971AA8" w:rsidP="00971AA8">
      <w:pPr>
        <w:widowControl w:val="0"/>
        <w:autoSpaceDE w:val="0"/>
        <w:autoSpaceDN w:val="0"/>
        <w:adjustRightInd w:val="0"/>
        <w:spacing w:before="120" w:line="276" w:lineRule="auto"/>
        <w:rPr>
          <w:rFonts w:ascii="Arial" w:eastAsia="MS Mincho" w:hAnsi="Arial" w:cs="Arial"/>
          <w:sz w:val="18"/>
          <w:szCs w:val="18"/>
        </w:rPr>
      </w:pPr>
      <w:r w:rsidRPr="00F64567">
        <w:rPr>
          <w:rFonts w:ascii="Arial" w:eastAsia="MS Mincho" w:hAnsi="Arial" w:cs="Arial"/>
          <w:sz w:val="18"/>
          <w:szCs w:val="18"/>
          <w:vertAlign w:val="superscript"/>
        </w:rPr>
        <w:t>a</w:t>
      </w:r>
      <w:r w:rsidRPr="00E41DA4">
        <w:rPr>
          <w:rFonts w:ascii="Arial" w:eastAsia="MS Mincho" w:hAnsi="Arial" w:cs="Arial"/>
          <w:sz w:val="18"/>
          <w:szCs w:val="18"/>
        </w:rPr>
        <w:t>Patients were deemed newly diagnosed if the qualifying RHC was performed within the 3 months preceding enrollment to REVEAL, and previously diagnosed if the qualifying RHC was prior to the 3 months before enrollment.</w:t>
      </w:r>
      <w:r>
        <w:rPr>
          <w:rFonts w:ascii="Arial" w:eastAsia="MS Mincho" w:hAnsi="Arial" w:cs="Arial"/>
          <w:sz w:val="18"/>
          <w:szCs w:val="18"/>
        </w:rPr>
        <w:br/>
      </w:r>
      <w:r w:rsidRPr="00E41DA4">
        <w:rPr>
          <w:rFonts w:ascii="Arial" w:eastAsia="MS Mincho" w:hAnsi="Arial" w:cs="Arial"/>
          <w:sz w:val="18"/>
          <w:szCs w:val="18"/>
        </w:rPr>
        <w:t>APAH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associated PAH; BMI</w:t>
      </w:r>
      <w:r>
        <w:rPr>
          <w:rFonts w:ascii="Arial" w:eastAsia="MS Mincho" w:hAnsi="Arial" w:cs="Arial"/>
          <w:sz w:val="18"/>
          <w:szCs w:val="18"/>
        </w:rPr>
        <w:t xml:space="preserve">: </w:t>
      </w:r>
      <w:r w:rsidRPr="00E41DA4">
        <w:rPr>
          <w:rFonts w:ascii="Arial" w:eastAsia="MS Mincho" w:hAnsi="Arial" w:cs="Arial"/>
          <w:sz w:val="18"/>
          <w:szCs w:val="18"/>
        </w:rPr>
        <w:t>body mass index; FC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functional class; FPAH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familial PAH; HIV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human immunodeficiency virus; IPAH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idiopathic PAH; IQR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interquartile range; NYHA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New York Heart Association; PAH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pulmonary arterial hypertension; PAPi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pulmonary artery pulsatility index; </w:t>
      </w:r>
      <w:r w:rsidRPr="00726924">
        <w:rPr>
          <w:rFonts w:ascii="Arial" w:eastAsia="MS Mincho" w:hAnsi="Arial" w:cs="Arial"/>
          <w:sz w:val="18"/>
          <w:szCs w:val="18"/>
        </w:rPr>
        <w:t>REVEAL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Registry to Evaluate Early and Long-Term PAH Disease Management; </w:t>
      </w:r>
      <w:r>
        <w:rPr>
          <w:rFonts w:ascii="Arial" w:eastAsia="MS Mincho" w:hAnsi="Arial" w:cs="Arial"/>
          <w:sz w:val="18"/>
          <w:szCs w:val="18"/>
        </w:rPr>
        <w:t xml:space="preserve">RHC, right heart catheterization; </w:t>
      </w:r>
      <w:r w:rsidRPr="00E41DA4">
        <w:rPr>
          <w:rFonts w:ascii="Arial" w:eastAsia="MS Mincho" w:hAnsi="Arial" w:cs="Arial"/>
          <w:sz w:val="18"/>
          <w:szCs w:val="18"/>
        </w:rPr>
        <w:t>SD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standard deviation; WHO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World Health Organization.</w:t>
      </w:r>
    </w:p>
    <w:p w14:paraId="1A3A2B34" w14:textId="77777777" w:rsidR="0097474C" w:rsidRDefault="0097474C"/>
    <w:sectPr w:rsidR="009747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4C"/>
    <w:rsid w:val="00971AA8"/>
    <w:rsid w:val="0097474C"/>
    <w:rsid w:val="00B1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7E2B9-0EA4-44BC-80C0-A9F087BD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7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7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7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7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2026-05-25T01:40:00Z</dcterms:created>
  <dcterms:modified xsi:type="dcterms:W3CDTF">2026-05-25T01:40:00Z</dcterms:modified>
</cp:coreProperties>
</file>