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93C80" w14:textId="77777777" w:rsidR="00BD7D12" w:rsidRDefault="00BD7D12" w:rsidP="00BD7D12">
      <w:pPr>
        <w:spacing w:after="60"/>
        <w:rPr>
          <w:rFonts w:asciiTheme="majorBidi" w:eastAsia="Times New Roman" w:hAnsiTheme="majorBidi" w:cstheme="majorBidi"/>
          <w:b/>
          <w:color w:val="000000" w:themeColor="text1"/>
          <w:rtl/>
        </w:rPr>
      </w:pPr>
    </w:p>
    <w:p w14:paraId="3732EE7D" w14:textId="77777777" w:rsidR="00BD7D12" w:rsidRDefault="00BD7D12" w:rsidP="00BD7D12">
      <w:pPr>
        <w:spacing w:after="60"/>
        <w:rPr>
          <w:rFonts w:asciiTheme="majorBidi" w:eastAsia="Times New Roman" w:hAnsiTheme="majorBidi" w:cstheme="majorBidi"/>
          <w:b/>
          <w:color w:val="000000" w:themeColor="text1"/>
          <w:rtl/>
        </w:rPr>
      </w:pPr>
    </w:p>
    <w:p w14:paraId="37F41225" w14:textId="77777777" w:rsidR="00BD7D12" w:rsidRDefault="00BD7D12" w:rsidP="00BD7D12">
      <w:pPr>
        <w:spacing w:after="60"/>
        <w:rPr>
          <w:rFonts w:asciiTheme="majorBidi" w:eastAsia="Times New Roman" w:hAnsiTheme="majorBidi" w:cstheme="majorBidi"/>
          <w:b/>
          <w:color w:val="000000" w:themeColor="text1"/>
          <w:rtl/>
        </w:rPr>
      </w:pPr>
    </w:p>
    <w:p w14:paraId="2968DC07" w14:textId="77777777" w:rsidR="00BD7D12" w:rsidRDefault="00BD7D12" w:rsidP="00BD7D12">
      <w:pPr>
        <w:spacing w:before="120" w:after="0" w:line="240" w:lineRule="auto"/>
        <w:rPr>
          <w:rFonts w:asciiTheme="majorBidi" w:hAnsiTheme="majorBidi" w:cstheme="majorBidi"/>
        </w:rPr>
      </w:pPr>
      <w:r w:rsidRPr="00D10F92">
        <w:rPr>
          <w:rFonts w:asciiTheme="majorBidi" w:hAnsiTheme="majorBidi" w:cstheme="majorBidi"/>
          <w:b/>
          <w:bCs/>
        </w:rPr>
        <w:t>Suppl</w:t>
      </w:r>
      <w:r>
        <w:rPr>
          <w:rFonts w:asciiTheme="majorBidi" w:hAnsiTheme="majorBidi" w:cstheme="majorBidi"/>
          <w:b/>
          <w:bCs/>
        </w:rPr>
        <w:t xml:space="preserve"> 2</w:t>
      </w:r>
      <w:r w:rsidRPr="00D10F92">
        <w:rPr>
          <w:rFonts w:asciiTheme="majorBidi" w:hAnsiTheme="majorBidi" w:cstheme="majorBidi"/>
          <w:b/>
          <w:bCs/>
        </w:rPr>
        <w:t>.</w:t>
      </w:r>
      <w:r w:rsidRPr="00D10F92">
        <w:rPr>
          <w:rFonts w:asciiTheme="majorBidi" w:hAnsiTheme="majorBidi" w:cstheme="majorBidi"/>
        </w:rPr>
        <w:t xml:space="preserve"> Definitions of safety outcomes included in the quantitative synthesis</w:t>
      </w:r>
    </w:p>
    <w:p w14:paraId="36CDB011" w14:textId="77777777" w:rsidR="00BD7D12" w:rsidRPr="00D10F92" w:rsidRDefault="00BD7D12" w:rsidP="00BD7D12">
      <w:pPr>
        <w:spacing w:before="120" w:after="0" w:line="240" w:lineRule="auto"/>
        <w:rPr>
          <w:rFonts w:asciiTheme="majorBidi" w:hAnsiTheme="majorBidi" w:cstheme="majorBidi"/>
          <w:rtl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89"/>
        <w:gridCol w:w="1725"/>
        <w:gridCol w:w="8736"/>
      </w:tblGrid>
      <w:tr w:rsidR="00BD7D12" w:rsidRPr="00D10F92" w14:paraId="7F812FB4" w14:textId="77777777" w:rsidTr="007955E6">
        <w:trPr>
          <w:tblHeader/>
          <w:tblCellSpacing w:w="15" w:type="dxa"/>
        </w:trPr>
        <w:tc>
          <w:tcPr>
            <w:tcW w:w="3412" w:type="dxa"/>
            <w:shd w:val="clear" w:color="auto" w:fill="4472C4" w:themeFill="accent1"/>
            <w:vAlign w:val="center"/>
            <w:hideMark/>
          </w:tcPr>
          <w:p w14:paraId="0BE84682" w14:textId="77777777" w:rsidR="00BD7D12" w:rsidRPr="00D10F92" w:rsidRDefault="00BD7D12" w:rsidP="00795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10F92">
              <w:rPr>
                <w:rFonts w:ascii="Times New Roman" w:eastAsia="Times New Roman" w:hAnsi="Times New Roman" w:cs="Times New Roman"/>
                <w:b/>
                <w:bCs/>
              </w:rPr>
              <w:t>Outcome</w:t>
            </w:r>
          </w:p>
        </w:tc>
        <w:tc>
          <w:tcPr>
            <w:tcW w:w="2380" w:type="dxa"/>
            <w:shd w:val="clear" w:color="auto" w:fill="4472C4" w:themeFill="accent1"/>
            <w:vAlign w:val="center"/>
            <w:hideMark/>
          </w:tcPr>
          <w:p w14:paraId="68E5A3E5" w14:textId="77777777" w:rsidR="00BD7D12" w:rsidRPr="00D10F92" w:rsidRDefault="00BD7D12" w:rsidP="00795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10F92">
              <w:rPr>
                <w:rFonts w:ascii="Times New Roman" w:eastAsia="Times New Roman" w:hAnsi="Times New Roman" w:cs="Times New Roman"/>
                <w:b/>
                <w:bCs/>
              </w:rPr>
              <w:t>Study</w:t>
            </w:r>
          </w:p>
        </w:tc>
        <w:tc>
          <w:tcPr>
            <w:tcW w:w="17238" w:type="dxa"/>
            <w:shd w:val="clear" w:color="auto" w:fill="4472C4" w:themeFill="accent1"/>
            <w:vAlign w:val="center"/>
            <w:hideMark/>
          </w:tcPr>
          <w:p w14:paraId="4CCD6AA6" w14:textId="77777777" w:rsidR="00BD7D12" w:rsidRPr="00D10F92" w:rsidRDefault="00BD7D12" w:rsidP="00795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10F92">
              <w:rPr>
                <w:rFonts w:ascii="Times New Roman" w:eastAsia="Times New Roman" w:hAnsi="Times New Roman" w:cs="Times New Roman"/>
                <w:b/>
                <w:bCs/>
              </w:rPr>
              <w:t>Trial-specific definition</w:t>
            </w:r>
          </w:p>
        </w:tc>
      </w:tr>
      <w:tr w:rsidR="00BD7D12" w:rsidRPr="00D10F92" w14:paraId="7ADDA4CC" w14:textId="77777777" w:rsidTr="007955E6">
        <w:trPr>
          <w:tblCellSpacing w:w="15" w:type="dxa"/>
        </w:trPr>
        <w:tc>
          <w:tcPr>
            <w:tcW w:w="3412" w:type="dxa"/>
            <w:vMerge w:val="restart"/>
            <w:vAlign w:val="center"/>
            <w:hideMark/>
          </w:tcPr>
          <w:p w14:paraId="1A0FFE95" w14:textId="77777777" w:rsidR="00BD7D12" w:rsidRPr="00D10F92" w:rsidRDefault="00BD7D12" w:rsidP="007955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10F92">
              <w:rPr>
                <w:rFonts w:ascii="Times New Roman" w:eastAsia="Times New Roman" w:hAnsi="Times New Roman" w:cs="Times New Roman"/>
                <w:b/>
                <w:bCs/>
              </w:rPr>
              <w:t>Any adverse event</w:t>
            </w:r>
          </w:p>
        </w:tc>
        <w:tc>
          <w:tcPr>
            <w:tcW w:w="2380" w:type="dxa"/>
            <w:vAlign w:val="center"/>
            <w:hideMark/>
          </w:tcPr>
          <w:p w14:paraId="72A66D12" w14:textId="77777777" w:rsidR="00BD7D12" w:rsidRPr="00D10F92" w:rsidRDefault="00BD7D12" w:rsidP="007955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10F92">
              <w:rPr>
                <w:rFonts w:ascii="Times New Roman" w:eastAsia="Times New Roman" w:hAnsi="Times New Roman" w:cs="Times New Roman"/>
              </w:rPr>
              <w:t>Sundel et al., 2003</w:t>
            </w:r>
          </w:p>
        </w:tc>
        <w:tc>
          <w:tcPr>
            <w:tcW w:w="17238" w:type="dxa"/>
            <w:vAlign w:val="center"/>
            <w:hideMark/>
          </w:tcPr>
          <w:p w14:paraId="75B34EA9" w14:textId="77777777" w:rsidR="00BD7D12" w:rsidRPr="00D10F92" w:rsidRDefault="00BD7D12" w:rsidP="007955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10F92">
              <w:rPr>
                <w:rFonts w:ascii="Times New Roman" w:eastAsia="Times New Roman" w:hAnsi="Times New Roman" w:cs="Times New Roman"/>
              </w:rPr>
              <w:t>Occurrence of ≥1 prospectively defined adverse event during hospitalization; events were documented through daily medical-record review.</w:t>
            </w:r>
          </w:p>
        </w:tc>
      </w:tr>
      <w:tr w:rsidR="00BD7D12" w:rsidRPr="00D10F92" w14:paraId="3F853616" w14:textId="77777777" w:rsidTr="007955E6">
        <w:trPr>
          <w:tblCellSpacing w:w="15" w:type="dxa"/>
        </w:trPr>
        <w:tc>
          <w:tcPr>
            <w:tcW w:w="3412" w:type="dxa"/>
            <w:vMerge/>
            <w:vAlign w:val="center"/>
            <w:hideMark/>
          </w:tcPr>
          <w:p w14:paraId="24082C9C" w14:textId="77777777" w:rsidR="00BD7D12" w:rsidRPr="00D10F92" w:rsidRDefault="00BD7D12" w:rsidP="007955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0" w:type="dxa"/>
            <w:vAlign w:val="center"/>
            <w:hideMark/>
          </w:tcPr>
          <w:p w14:paraId="68A411F2" w14:textId="77777777" w:rsidR="00BD7D12" w:rsidRPr="00D10F92" w:rsidRDefault="00BD7D12" w:rsidP="007955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10F92">
              <w:rPr>
                <w:rFonts w:ascii="Times New Roman" w:eastAsia="Times New Roman" w:hAnsi="Times New Roman" w:cs="Times New Roman"/>
              </w:rPr>
              <w:t>Lin et al., 2026</w:t>
            </w:r>
          </w:p>
        </w:tc>
        <w:tc>
          <w:tcPr>
            <w:tcW w:w="17238" w:type="dxa"/>
            <w:vAlign w:val="center"/>
            <w:hideMark/>
          </w:tcPr>
          <w:p w14:paraId="7951505F" w14:textId="77777777" w:rsidR="00BD7D12" w:rsidRPr="00D10F92" w:rsidRDefault="00BD7D12" w:rsidP="007955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10F92">
              <w:rPr>
                <w:rFonts w:ascii="Times New Roman" w:eastAsia="Times New Roman" w:hAnsi="Times New Roman" w:cs="Times New Roman"/>
              </w:rPr>
              <w:t>NA; reported as “any adverse event,” without an explicit operational composite definition in the main article.</w:t>
            </w:r>
          </w:p>
        </w:tc>
      </w:tr>
      <w:tr w:rsidR="00BD7D12" w:rsidRPr="00D10F92" w14:paraId="69F3CFDD" w14:textId="77777777" w:rsidTr="007955E6">
        <w:trPr>
          <w:tblCellSpacing w:w="15" w:type="dxa"/>
        </w:trPr>
        <w:tc>
          <w:tcPr>
            <w:tcW w:w="3412" w:type="dxa"/>
            <w:vMerge/>
            <w:vAlign w:val="center"/>
            <w:hideMark/>
          </w:tcPr>
          <w:p w14:paraId="7478C148" w14:textId="77777777" w:rsidR="00BD7D12" w:rsidRPr="00D10F92" w:rsidRDefault="00BD7D12" w:rsidP="007955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0" w:type="dxa"/>
            <w:vAlign w:val="center"/>
            <w:hideMark/>
          </w:tcPr>
          <w:p w14:paraId="579BD872" w14:textId="77777777" w:rsidR="00BD7D12" w:rsidRPr="00D10F92" w:rsidRDefault="00BD7D12" w:rsidP="007955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10F92">
              <w:rPr>
                <w:rFonts w:ascii="Times New Roman" w:eastAsia="Times New Roman" w:hAnsi="Times New Roman" w:cs="Times New Roman"/>
              </w:rPr>
              <w:t>Newburger et al., 2007</w:t>
            </w:r>
          </w:p>
        </w:tc>
        <w:tc>
          <w:tcPr>
            <w:tcW w:w="17238" w:type="dxa"/>
            <w:vAlign w:val="center"/>
            <w:hideMark/>
          </w:tcPr>
          <w:p w14:paraId="10CB7FD5" w14:textId="77777777" w:rsidR="00BD7D12" w:rsidRPr="00D10F92" w:rsidRDefault="00BD7D12" w:rsidP="007955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10F92">
              <w:rPr>
                <w:rFonts w:ascii="Times New Roman" w:eastAsia="Times New Roman" w:hAnsi="Times New Roman" w:cs="Times New Roman"/>
              </w:rPr>
              <w:t>Occurrence of ≥1 adverse event; events were classified by severity, expectedness, and attributability and centrally adjudicated.</w:t>
            </w:r>
          </w:p>
        </w:tc>
      </w:tr>
      <w:tr w:rsidR="00BD7D12" w:rsidRPr="00D10F92" w14:paraId="3BB20192" w14:textId="77777777" w:rsidTr="007955E6">
        <w:trPr>
          <w:tblCellSpacing w:w="15" w:type="dxa"/>
        </w:trPr>
        <w:tc>
          <w:tcPr>
            <w:tcW w:w="3412" w:type="dxa"/>
            <w:vMerge/>
            <w:vAlign w:val="center"/>
            <w:hideMark/>
          </w:tcPr>
          <w:p w14:paraId="497A480C" w14:textId="77777777" w:rsidR="00BD7D12" w:rsidRPr="00D10F92" w:rsidRDefault="00BD7D12" w:rsidP="007955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0" w:type="dxa"/>
            <w:vAlign w:val="center"/>
            <w:hideMark/>
          </w:tcPr>
          <w:p w14:paraId="732ACA60" w14:textId="77777777" w:rsidR="00BD7D12" w:rsidRPr="00D10F92" w:rsidRDefault="00BD7D12" w:rsidP="007955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10F92">
              <w:rPr>
                <w:rFonts w:ascii="Times New Roman" w:eastAsia="Times New Roman" w:hAnsi="Times New Roman" w:cs="Times New Roman"/>
              </w:rPr>
              <w:t>Okada et al., 2003</w:t>
            </w:r>
          </w:p>
        </w:tc>
        <w:tc>
          <w:tcPr>
            <w:tcW w:w="17238" w:type="dxa"/>
            <w:vAlign w:val="center"/>
            <w:hideMark/>
          </w:tcPr>
          <w:p w14:paraId="4BA2B2CB" w14:textId="77777777" w:rsidR="00BD7D12" w:rsidRPr="00D10F92" w:rsidRDefault="00BD7D12" w:rsidP="007955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10F92">
              <w:rPr>
                <w:rFonts w:ascii="Times New Roman" w:eastAsia="Times New Roman" w:hAnsi="Times New Roman" w:cs="Times New Roman"/>
              </w:rPr>
              <w:t>NA; only absence of adverse reactions to steroids was reported.</w:t>
            </w:r>
          </w:p>
        </w:tc>
      </w:tr>
      <w:tr w:rsidR="00BD7D12" w:rsidRPr="00D10F92" w14:paraId="78882AB7" w14:textId="77777777" w:rsidTr="007955E6">
        <w:trPr>
          <w:tblCellSpacing w:w="15" w:type="dxa"/>
        </w:trPr>
        <w:tc>
          <w:tcPr>
            <w:tcW w:w="3412" w:type="dxa"/>
            <w:vMerge/>
            <w:vAlign w:val="center"/>
            <w:hideMark/>
          </w:tcPr>
          <w:p w14:paraId="36F30020" w14:textId="77777777" w:rsidR="00BD7D12" w:rsidRPr="00D10F92" w:rsidRDefault="00BD7D12" w:rsidP="007955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0" w:type="dxa"/>
            <w:vAlign w:val="center"/>
            <w:hideMark/>
          </w:tcPr>
          <w:p w14:paraId="2358AD69" w14:textId="77777777" w:rsidR="00BD7D12" w:rsidRPr="00D10F92" w:rsidRDefault="00BD7D12" w:rsidP="007955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10F92">
              <w:rPr>
                <w:rFonts w:ascii="Times New Roman" w:eastAsia="Times New Roman" w:hAnsi="Times New Roman" w:cs="Times New Roman"/>
              </w:rPr>
              <w:t>Kobayashi et al., 2012</w:t>
            </w:r>
          </w:p>
        </w:tc>
        <w:tc>
          <w:tcPr>
            <w:tcW w:w="17238" w:type="dxa"/>
            <w:vAlign w:val="center"/>
            <w:hideMark/>
          </w:tcPr>
          <w:p w14:paraId="1C014A32" w14:textId="77777777" w:rsidR="00BD7D12" w:rsidRPr="003816C5" w:rsidRDefault="00BD7D12" w:rsidP="007955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16C5">
              <w:rPr>
                <w:rFonts w:ascii="Times New Roman" w:eastAsia="Times New Roman" w:hAnsi="Times New Roman" w:cs="Times New Roman"/>
              </w:rPr>
              <w:t>Not applicable to this outcome; reported data represent serious adverse events rather than any adverse event.</w:t>
            </w:r>
          </w:p>
        </w:tc>
      </w:tr>
      <w:tr w:rsidR="00BD7D12" w:rsidRPr="00D10F92" w14:paraId="43E3452C" w14:textId="77777777" w:rsidTr="007955E6">
        <w:trPr>
          <w:tblCellSpacing w:w="15" w:type="dxa"/>
        </w:trPr>
        <w:tc>
          <w:tcPr>
            <w:tcW w:w="3412" w:type="dxa"/>
            <w:vMerge/>
            <w:vAlign w:val="center"/>
            <w:hideMark/>
          </w:tcPr>
          <w:p w14:paraId="1ADBA46C" w14:textId="77777777" w:rsidR="00BD7D12" w:rsidRPr="00D10F92" w:rsidRDefault="00BD7D12" w:rsidP="007955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0" w:type="dxa"/>
            <w:vAlign w:val="center"/>
            <w:hideMark/>
          </w:tcPr>
          <w:p w14:paraId="773F731C" w14:textId="77777777" w:rsidR="00BD7D12" w:rsidRPr="00D10F92" w:rsidRDefault="00BD7D12" w:rsidP="007955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10F92">
              <w:rPr>
                <w:rFonts w:ascii="Times New Roman" w:eastAsia="Times New Roman" w:hAnsi="Times New Roman" w:cs="Times New Roman"/>
              </w:rPr>
              <w:t>Ogata et al., 2012</w:t>
            </w:r>
          </w:p>
        </w:tc>
        <w:tc>
          <w:tcPr>
            <w:tcW w:w="17238" w:type="dxa"/>
            <w:vAlign w:val="center"/>
            <w:hideMark/>
          </w:tcPr>
          <w:p w14:paraId="582FFBFF" w14:textId="77777777" w:rsidR="00BD7D12" w:rsidRPr="00D10F92" w:rsidRDefault="00BD7D12" w:rsidP="007955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10F92">
              <w:rPr>
                <w:rFonts w:ascii="Times New Roman" w:eastAsia="Times New Roman" w:hAnsi="Times New Roman" w:cs="Times New Roman"/>
              </w:rPr>
              <w:t>Occurrence of prospectively defined adverse events documented by daily medical-record review; hypothermia &lt;36°C, bradycardia &lt;60 beats/min, hypertension SBP ≥120 mmHg.</w:t>
            </w:r>
          </w:p>
        </w:tc>
      </w:tr>
      <w:tr w:rsidR="00BD7D12" w:rsidRPr="00D10F92" w14:paraId="0F6532CF" w14:textId="77777777" w:rsidTr="007955E6">
        <w:trPr>
          <w:tblCellSpacing w:w="15" w:type="dxa"/>
        </w:trPr>
        <w:tc>
          <w:tcPr>
            <w:tcW w:w="3412" w:type="dxa"/>
            <w:vMerge w:val="restart"/>
            <w:shd w:val="clear" w:color="auto" w:fill="D9E2F3" w:themeFill="accent1" w:themeFillTint="33"/>
            <w:vAlign w:val="center"/>
            <w:hideMark/>
          </w:tcPr>
          <w:p w14:paraId="00E1732B" w14:textId="77777777" w:rsidR="00BD7D12" w:rsidRPr="00D10F92" w:rsidRDefault="00BD7D12" w:rsidP="007955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10F92">
              <w:rPr>
                <w:rFonts w:ascii="Times New Roman" w:eastAsia="Times New Roman" w:hAnsi="Times New Roman" w:cs="Times New Roman"/>
                <w:b/>
                <w:bCs/>
              </w:rPr>
              <w:t>Adverse events leading to treatment discontinuation</w:t>
            </w:r>
          </w:p>
        </w:tc>
        <w:tc>
          <w:tcPr>
            <w:tcW w:w="2380" w:type="dxa"/>
            <w:vAlign w:val="center"/>
            <w:hideMark/>
          </w:tcPr>
          <w:p w14:paraId="640BE55A" w14:textId="77777777" w:rsidR="00BD7D12" w:rsidRPr="00D10F92" w:rsidRDefault="00BD7D12" w:rsidP="007955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10F92">
              <w:rPr>
                <w:rFonts w:ascii="Times New Roman" w:eastAsia="Times New Roman" w:hAnsi="Times New Roman" w:cs="Times New Roman"/>
              </w:rPr>
              <w:t>Lin et al., 2026</w:t>
            </w:r>
          </w:p>
        </w:tc>
        <w:tc>
          <w:tcPr>
            <w:tcW w:w="17238" w:type="dxa"/>
            <w:vAlign w:val="center"/>
            <w:hideMark/>
          </w:tcPr>
          <w:p w14:paraId="376A9865" w14:textId="77777777" w:rsidR="00BD7D12" w:rsidRPr="00D10F92" w:rsidRDefault="00BD7D12" w:rsidP="007955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10F92">
              <w:rPr>
                <w:rFonts w:ascii="Times New Roman" w:eastAsia="Times New Roman" w:hAnsi="Times New Roman" w:cs="Times New Roman"/>
              </w:rPr>
              <w:t>Any adverse event leading to discontinuation or adjustment of the treatment dose.</w:t>
            </w:r>
          </w:p>
        </w:tc>
      </w:tr>
      <w:tr w:rsidR="00BD7D12" w:rsidRPr="00D10F92" w14:paraId="66A3903D" w14:textId="77777777" w:rsidTr="007955E6">
        <w:trPr>
          <w:tblCellSpacing w:w="15" w:type="dxa"/>
        </w:trPr>
        <w:tc>
          <w:tcPr>
            <w:tcW w:w="3412" w:type="dxa"/>
            <w:vMerge/>
            <w:shd w:val="clear" w:color="auto" w:fill="D9E2F3" w:themeFill="accent1" w:themeFillTint="33"/>
            <w:vAlign w:val="center"/>
            <w:hideMark/>
          </w:tcPr>
          <w:p w14:paraId="385AFA0E" w14:textId="77777777" w:rsidR="00BD7D12" w:rsidRPr="00D10F92" w:rsidRDefault="00BD7D12" w:rsidP="007955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0" w:type="dxa"/>
            <w:vAlign w:val="center"/>
            <w:hideMark/>
          </w:tcPr>
          <w:p w14:paraId="1537B02C" w14:textId="77777777" w:rsidR="00BD7D12" w:rsidRPr="00D10F92" w:rsidRDefault="00BD7D12" w:rsidP="007955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10F92">
              <w:rPr>
                <w:rFonts w:ascii="Times New Roman" w:eastAsia="Times New Roman" w:hAnsi="Times New Roman" w:cs="Times New Roman"/>
              </w:rPr>
              <w:t>Inoue et al., 2006</w:t>
            </w:r>
          </w:p>
        </w:tc>
        <w:tc>
          <w:tcPr>
            <w:tcW w:w="17238" w:type="dxa"/>
            <w:vAlign w:val="center"/>
            <w:hideMark/>
          </w:tcPr>
          <w:p w14:paraId="146E4D99" w14:textId="77777777" w:rsidR="00BD7D12" w:rsidRPr="00D10F92" w:rsidRDefault="00BD7D12" w:rsidP="007955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10F92">
              <w:rPr>
                <w:rFonts w:ascii="Times New Roman" w:eastAsia="Times New Roman" w:hAnsi="Times New Roman" w:cs="Times New Roman"/>
              </w:rPr>
              <w:t>Discontinuation of protocol treatment because of an adverse event.</w:t>
            </w:r>
          </w:p>
        </w:tc>
      </w:tr>
      <w:tr w:rsidR="00BD7D12" w:rsidRPr="00D10F92" w14:paraId="0BF2E89C" w14:textId="77777777" w:rsidTr="007955E6">
        <w:trPr>
          <w:tblCellSpacing w:w="15" w:type="dxa"/>
        </w:trPr>
        <w:tc>
          <w:tcPr>
            <w:tcW w:w="3412" w:type="dxa"/>
            <w:vMerge/>
            <w:shd w:val="clear" w:color="auto" w:fill="D9E2F3" w:themeFill="accent1" w:themeFillTint="33"/>
            <w:vAlign w:val="center"/>
            <w:hideMark/>
          </w:tcPr>
          <w:p w14:paraId="2BE17410" w14:textId="77777777" w:rsidR="00BD7D12" w:rsidRPr="00D10F92" w:rsidRDefault="00BD7D12" w:rsidP="007955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0" w:type="dxa"/>
            <w:vAlign w:val="center"/>
            <w:hideMark/>
          </w:tcPr>
          <w:p w14:paraId="032E65FA" w14:textId="77777777" w:rsidR="00BD7D12" w:rsidRPr="00D10F92" w:rsidRDefault="00BD7D12" w:rsidP="007955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10F92">
              <w:rPr>
                <w:rFonts w:ascii="Times New Roman" w:eastAsia="Times New Roman" w:hAnsi="Times New Roman" w:cs="Times New Roman"/>
              </w:rPr>
              <w:t>Ogata et al., 2012</w:t>
            </w:r>
          </w:p>
        </w:tc>
        <w:tc>
          <w:tcPr>
            <w:tcW w:w="17238" w:type="dxa"/>
            <w:vAlign w:val="center"/>
            <w:hideMark/>
          </w:tcPr>
          <w:p w14:paraId="260AEB55" w14:textId="77777777" w:rsidR="00BD7D12" w:rsidRPr="003816C5" w:rsidRDefault="00BD7D12" w:rsidP="007955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16C5">
              <w:rPr>
                <w:rFonts w:ascii="Times New Roman" w:eastAsia="Times New Roman" w:hAnsi="Times New Roman" w:cs="Times New Roman"/>
              </w:rPr>
              <w:t>NA; treatment discontinuation because of adverse events was not reported.</w:t>
            </w:r>
          </w:p>
        </w:tc>
      </w:tr>
    </w:tbl>
    <w:p w14:paraId="00D27328" w14:textId="77777777" w:rsidR="00BD7D12" w:rsidRDefault="00BD7D12" w:rsidP="00BD7D12">
      <w:pPr>
        <w:spacing w:before="120" w:after="0" w:line="240" w:lineRule="auto"/>
        <w:rPr>
          <w:rFonts w:asciiTheme="majorBidi" w:eastAsia="SimSun" w:hAnsiTheme="majorBidi" w:cstheme="majorBidi"/>
          <w:lang w:eastAsia="zh-CN"/>
        </w:rPr>
      </w:pPr>
    </w:p>
    <w:p w14:paraId="249867C7" w14:textId="77777777" w:rsidR="00BD7D12" w:rsidRDefault="00BD7D12" w:rsidP="00BD7D12">
      <w:pPr>
        <w:spacing w:before="120" w:after="0" w:line="240" w:lineRule="auto"/>
        <w:rPr>
          <w:rFonts w:asciiTheme="majorBidi" w:eastAsia="SimSun" w:hAnsiTheme="majorBidi" w:cstheme="majorBidi"/>
          <w:lang w:eastAsia="zh-CN"/>
        </w:rPr>
      </w:pPr>
    </w:p>
    <w:p w14:paraId="0C250F57" w14:textId="77777777" w:rsidR="0067415F" w:rsidRDefault="0067415F"/>
    <w:sectPr w:rsidR="0067415F" w:rsidSect="007B5694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??¨¬?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B2F"/>
    <w:rsid w:val="004244E6"/>
    <w:rsid w:val="00616512"/>
    <w:rsid w:val="0067415F"/>
    <w:rsid w:val="007B5694"/>
    <w:rsid w:val="00BD7D12"/>
    <w:rsid w:val="00CA5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9BBE366-5CD2-4EE2-BBDE-9228227FA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5B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5B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5B2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5B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5B2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5B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5B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5B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5B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5B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5B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5B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5B2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5B2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5B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5B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5B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5B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5B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5B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5B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5B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5B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5B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5B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5B2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5B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5B2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5B2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1133</Characters>
  <Application>Microsoft Office Word</Application>
  <DocSecurity>0</DocSecurity>
  <Lines>9</Lines>
  <Paragraphs>2</Paragraphs>
  <ScaleCrop>false</ScaleCrop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3</cp:revision>
  <dcterms:created xsi:type="dcterms:W3CDTF">2026-10-21T14:41:00Z</dcterms:created>
  <dcterms:modified xsi:type="dcterms:W3CDTF">2026-10-21T14:41:00Z</dcterms:modified>
</cp:coreProperties>
</file>