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E002D" w14:textId="097B7F95" w:rsidR="00465776" w:rsidRPr="009468B6" w:rsidRDefault="00676FA3" w:rsidP="00465776">
      <w:pPr>
        <w:pStyle w:val="Table"/>
      </w:pPr>
      <w:r>
        <w:t>Suppl 3</w:t>
      </w:r>
      <w:r w:rsidR="00465776" w:rsidRPr="009468B6">
        <w:t xml:space="preserve">. Summary </w:t>
      </w:r>
      <w:r w:rsidR="00C12559" w:rsidRPr="009468B6">
        <w:t>characteristics of included st</w:t>
      </w:r>
      <w:r w:rsidR="00465776" w:rsidRPr="009468B6">
        <w:t>udies</w:t>
      </w:r>
    </w:p>
    <w:tbl>
      <w:tblPr>
        <w:tblStyle w:val="TableGrid"/>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35"/>
        <w:gridCol w:w="720"/>
        <w:gridCol w:w="450"/>
        <w:gridCol w:w="540"/>
        <w:gridCol w:w="540"/>
        <w:gridCol w:w="900"/>
        <w:gridCol w:w="630"/>
        <w:gridCol w:w="720"/>
        <w:gridCol w:w="720"/>
        <w:gridCol w:w="900"/>
        <w:gridCol w:w="540"/>
        <w:gridCol w:w="1440"/>
        <w:gridCol w:w="4593"/>
      </w:tblGrid>
      <w:tr w:rsidR="00465776" w:rsidRPr="009468B6" w14:paraId="2B964FFE" w14:textId="77777777" w:rsidTr="00613D10">
        <w:trPr>
          <w:tblHeader/>
        </w:trPr>
        <w:tc>
          <w:tcPr>
            <w:tcW w:w="535" w:type="dxa"/>
            <w:vAlign w:val="center"/>
            <w:hideMark/>
          </w:tcPr>
          <w:p w14:paraId="46298228" w14:textId="77777777" w:rsidR="00465776" w:rsidRPr="009468B6" w:rsidRDefault="00465776" w:rsidP="00613D10">
            <w:pPr>
              <w:pStyle w:val="Para"/>
              <w:rPr>
                <w:sz w:val="10"/>
                <w:szCs w:val="10"/>
              </w:rPr>
            </w:pPr>
            <w:r w:rsidRPr="009468B6">
              <w:rPr>
                <w:sz w:val="10"/>
                <w:szCs w:val="10"/>
              </w:rPr>
              <w:t>Study</w:t>
            </w:r>
          </w:p>
        </w:tc>
        <w:tc>
          <w:tcPr>
            <w:tcW w:w="720" w:type="dxa"/>
            <w:vAlign w:val="center"/>
            <w:hideMark/>
          </w:tcPr>
          <w:p w14:paraId="41732122" w14:textId="77777777" w:rsidR="00465776" w:rsidRPr="009468B6" w:rsidRDefault="00465776" w:rsidP="00613D10">
            <w:pPr>
              <w:pStyle w:val="Para"/>
              <w:rPr>
                <w:sz w:val="10"/>
                <w:szCs w:val="10"/>
              </w:rPr>
            </w:pPr>
            <w:r w:rsidRPr="009468B6">
              <w:rPr>
                <w:sz w:val="10"/>
                <w:szCs w:val="10"/>
              </w:rPr>
              <w:t>Arms</w:t>
            </w:r>
          </w:p>
        </w:tc>
        <w:tc>
          <w:tcPr>
            <w:tcW w:w="450" w:type="dxa"/>
            <w:vAlign w:val="center"/>
            <w:hideMark/>
          </w:tcPr>
          <w:p w14:paraId="78CADEB4" w14:textId="77777777" w:rsidR="00465776" w:rsidRPr="009468B6" w:rsidRDefault="00465776" w:rsidP="00613D10">
            <w:pPr>
              <w:pStyle w:val="Para"/>
              <w:rPr>
                <w:sz w:val="10"/>
                <w:szCs w:val="10"/>
              </w:rPr>
            </w:pPr>
            <w:r w:rsidRPr="009468B6">
              <w:rPr>
                <w:sz w:val="10"/>
                <w:szCs w:val="10"/>
              </w:rPr>
              <w:t>Sample size</w:t>
            </w:r>
          </w:p>
        </w:tc>
        <w:tc>
          <w:tcPr>
            <w:tcW w:w="540" w:type="dxa"/>
            <w:vAlign w:val="center"/>
            <w:hideMark/>
          </w:tcPr>
          <w:p w14:paraId="19CE98ED" w14:textId="77777777" w:rsidR="00465776" w:rsidRPr="009468B6" w:rsidRDefault="00465776" w:rsidP="00613D10">
            <w:pPr>
              <w:pStyle w:val="Para"/>
              <w:rPr>
                <w:sz w:val="10"/>
                <w:szCs w:val="10"/>
              </w:rPr>
            </w:pPr>
            <w:r w:rsidRPr="009468B6">
              <w:rPr>
                <w:sz w:val="10"/>
                <w:szCs w:val="10"/>
              </w:rPr>
              <w:t>Country</w:t>
            </w:r>
          </w:p>
        </w:tc>
        <w:tc>
          <w:tcPr>
            <w:tcW w:w="540" w:type="dxa"/>
            <w:vAlign w:val="center"/>
            <w:hideMark/>
          </w:tcPr>
          <w:p w14:paraId="25CD878D" w14:textId="77777777" w:rsidR="00465776" w:rsidRPr="009468B6" w:rsidRDefault="00465776" w:rsidP="00613D10">
            <w:pPr>
              <w:pStyle w:val="Para"/>
              <w:rPr>
                <w:sz w:val="10"/>
                <w:szCs w:val="10"/>
              </w:rPr>
            </w:pPr>
            <w:r w:rsidRPr="009468B6">
              <w:rPr>
                <w:sz w:val="10"/>
                <w:szCs w:val="10"/>
              </w:rPr>
              <w:t>Study design</w:t>
            </w:r>
          </w:p>
        </w:tc>
        <w:tc>
          <w:tcPr>
            <w:tcW w:w="900" w:type="dxa"/>
            <w:vAlign w:val="center"/>
            <w:hideMark/>
          </w:tcPr>
          <w:p w14:paraId="58D602B0" w14:textId="77777777" w:rsidR="00465776" w:rsidRPr="009468B6" w:rsidRDefault="00465776" w:rsidP="00613D10">
            <w:pPr>
              <w:pStyle w:val="Para"/>
              <w:rPr>
                <w:sz w:val="10"/>
                <w:szCs w:val="10"/>
              </w:rPr>
            </w:pPr>
            <w:r w:rsidRPr="009468B6">
              <w:rPr>
                <w:sz w:val="10"/>
                <w:szCs w:val="10"/>
              </w:rPr>
              <w:t>Trial, or database, or center name</w:t>
            </w:r>
          </w:p>
        </w:tc>
        <w:tc>
          <w:tcPr>
            <w:tcW w:w="630" w:type="dxa"/>
            <w:vAlign w:val="center"/>
            <w:hideMark/>
          </w:tcPr>
          <w:p w14:paraId="25320B4E" w14:textId="77777777" w:rsidR="00465776" w:rsidRPr="009468B6" w:rsidRDefault="00465776" w:rsidP="00613D10">
            <w:pPr>
              <w:pStyle w:val="Para"/>
              <w:rPr>
                <w:sz w:val="10"/>
                <w:szCs w:val="10"/>
              </w:rPr>
            </w:pPr>
            <w:r w:rsidRPr="009468B6">
              <w:rPr>
                <w:sz w:val="10"/>
                <w:szCs w:val="10"/>
              </w:rPr>
              <w:t>Recruitment</w:t>
            </w:r>
          </w:p>
        </w:tc>
        <w:tc>
          <w:tcPr>
            <w:tcW w:w="720" w:type="dxa"/>
            <w:vAlign w:val="center"/>
            <w:hideMark/>
          </w:tcPr>
          <w:p w14:paraId="0BE8825C" w14:textId="77777777" w:rsidR="00465776" w:rsidRPr="009468B6" w:rsidRDefault="00465776" w:rsidP="00613D10">
            <w:pPr>
              <w:pStyle w:val="Para"/>
              <w:rPr>
                <w:sz w:val="10"/>
                <w:szCs w:val="10"/>
              </w:rPr>
            </w:pPr>
            <w:r w:rsidRPr="009468B6">
              <w:rPr>
                <w:sz w:val="10"/>
                <w:szCs w:val="10"/>
              </w:rPr>
              <w:t>Population type</w:t>
            </w:r>
          </w:p>
        </w:tc>
        <w:tc>
          <w:tcPr>
            <w:tcW w:w="720" w:type="dxa"/>
            <w:vAlign w:val="center"/>
            <w:hideMark/>
          </w:tcPr>
          <w:p w14:paraId="71DDC0C9" w14:textId="77777777" w:rsidR="00465776" w:rsidRPr="009468B6" w:rsidRDefault="00465776" w:rsidP="00613D10">
            <w:pPr>
              <w:pStyle w:val="Para"/>
              <w:rPr>
                <w:sz w:val="10"/>
                <w:szCs w:val="10"/>
              </w:rPr>
            </w:pPr>
            <w:r w:rsidRPr="009468B6">
              <w:rPr>
                <w:sz w:val="10"/>
                <w:szCs w:val="10"/>
              </w:rPr>
              <w:t>Baseline coronary artery status (CAA yes/no)</w:t>
            </w:r>
          </w:p>
        </w:tc>
        <w:tc>
          <w:tcPr>
            <w:tcW w:w="900" w:type="dxa"/>
            <w:vAlign w:val="center"/>
            <w:hideMark/>
          </w:tcPr>
          <w:p w14:paraId="6339D627" w14:textId="77777777" w:rsidR="00465776" w:rsidRPr="009468B6" w:rsidRDefault="00465776" w:rsidP="00613D10">
            <w:pPr>
              <w:pStyle w:val="Para"/>
              <w:rPr>
                <w:sz w:val="10"/>
                <w:szCs w:val="10"/>
              </w:rPr>
            </w:pPr>
            <w:r w:rsidRPr="009468B6">
              <w:rPr>
                <w:sz w:val="10"/>
                <w:szCs w:val="10"/>
              </w:rPr>
              <w:t>Definition of IVIG resistance</w:t>
            </w:r>
          </w:p>
        </w:tc>
        <w:tc>
          <w:tcPr>
            <w:tcW w:w="540" w:type="dxa"/>
            <w:vAlign w:val="center"/>
            <w:hideMark/>
          </w:tcPr>
          <w:p w14:paraId="3CD98F2D" w14:textId="77777777" w:rsidR="00465776" w:rsidRPr="009468B6" w:rsidRDefault="00465776" w:rsidP="00613D10">
            <w:pPr>
              <w:pStyle w:val="Para"/>
              <w:rPr>
                <w:sz w:val="10"/>
                <w:szCs w:val="10"/>
              </w:rPr>
            </w:pPr>
            <w:r w:rsidRPr="009468B6">
              <w:rPr>
                <w:sz w:val="10"/>
                <w:szCs w:val="10"/>
              </w:rPr>
              <w:t>Follow-up (months)</w:t>
            </w:r>
          </w:p>
        </w:tc>
        <w:tc>
          <w:tcPr>
            <w:tcW w:w="1440" w:type="dxa"/>
            <w:vAlign w:val="center"/>
            <w:hideMark/>
          </w:tcPr>
          <w:p w14:paraId="0156989A" w14:textId="77777777" w:rsidR="00465776" w:rsidRPr="009468B6" w:rsidRDefault="00465776" w:rsidP="00613D10">
            <w:pPr>
              <w:pStyle w:val="Para"/>
              <w:rPr>
                <w:sz w:val="10"/>
                <w:szCs w:val="10"/>
              </w:rPr>
            </w:pPr>
            <w:r w:rsidRPr="009468B6">
              <w:rPr>
                <w:sz w:val="10"/>
                <w:szCs w:val="10"/>
              </w:rPr>
              <w:t>Inclusion criteria</w:t>
            </w:r>
          </w:p>
        </w:tc>
        <w:tc>
          <w:tcPr>
            <w:tcW w:w="4593" w:type="dxa"/>
            <w:vAlign w:val="center"/>
            <w:hideMark/>
          </w:tcPr>
          <w:p w14:paraId="72290AF5" w14:textId="77777777" w:rsidR="00465776" w:rsidRPr="009468B6" w:rsidRDefault="00465776" w:rsidP="00613D10">
            <w:pPr>
              <w:pStyle w:val="Para"/>
              <w:rPr>
                <w:sz w:val="10"/>
                <w:szCs w:val="10"/>
              </w:rPr>
            </w:pPr>
            <w:r w:rsidRPr="009468B6">
              <w:rPr>
                <w:sz w:val="10"/>
                <w:szCs w:val="10"/>
              </w:rPr>
              <w:t>Conclusion</w:t>
            </w:r>
          </w:p>
        </w:tc>
      </w:tr>
      <w:tr w:rsidR="00465776" w:rsidRPr="009468B6" w14:paraId="78E8A504" w14:textId="77777777" w:rsidTr="00613D10">
        <w:tc>
          <w:tcPr>
            <w:tcW w:w="535" w:type="dxa"/>
            <w:vMerge w:val="restart"/>
            <w:tcBorders>
              <w:bottom w:val="nil"/>
            </w:tcBorders>
            <w:hideMark/>
          </w:tcPr>
          <w:p w14:paraId="4087935F" w14:textId="77777777" w:rsidR="00465776" w:rsidRPr="009468B6" w:rsidRDefault="00465776" w:rsidP="00613D10">
            <w:pPr>
              <w:pStyle w:val="Para"/>
              <w:rPr>
                <w:sz w:val="10"/>
                <w:szCs w:val="10"/>
              </w:rPr>
            </w:pPr>
            <w:r w:rsidRPr="009468B6">
              <w:rPr>
                <w:sz w:val="10"/>
                <w:szCs w:val="10"/>
              </w:rPr>
              <w:t>Lin et al, 2026 [14]</w:t>
            </w:r>
          </w:p>
        </w:tc>
        <w:tc>
          <w:tcPr>
            <w:tcW w:w="720" w:type="dxa"/>
            <w:tcBorders>
              <w:bottom w:val="nil"/>
            </w:tcBorders>
            <w:hideMark/>
          </w:tcPr>
          <w:p w14:paraId="2C2D8405" w14:textId="77777777" w:rsidR="00465776" w:rsidRPr="009468B6" w:rsidRDefault="00465776" w:rsidP="00613D10">
            <w:pPr>
              <w:pStyle w:val="Para"/>
              <w:rPr>
                <w:sz w:val="10"/>
                <w:szCs w:val="10"/>
              </w:rPr>
            </w:pPr>
            <w:r w:rsidRPr="009468B6">
              <w:rPr>
                <w:sz w:val="10"/>
                <w:szCs w:val="10"/>
              </w:rPr>
              <w:t>Standard Tx + corticosteroids</w:t>
            </w:r>
          </w:p>
        </w:tc>
        <w:tc>
          <w:tcPr>
            <w:tcW w:w="450" w:type="dxa"/>
            <w:tcBorders>
              <w:bottom w:val="nil"/>
            </w:tcBorders>
            <w:hideMark/>
          </w:tcPr>
          <w:p w14:paraId="692E8BDB" w14:textId="77777777" w:rsidR="00465776" w:rsidRPr="009468B6" w:rsidRDefault="00465776" w:rsidP="00613D10">
            <w:pPr>
              <w:pStyle w:val="Para"/>
              <w:rPr>
                <w:sz w:val="10"/>
                <w:szCs w:val="10"/>
              </w:rPr>
            </w:pPr>
            <w:r w:rsidRPr="009468B6">
              <w:rPr>
                <w:sz w:val="10"/>
                <w:szCs w:val="10"/>
              </w:rPr>
              <w:t>3,208</w:t>
            </w:r>
          </w:p>
        </w:tc>
        <w:tc>
          <w:tcPr>
            <w:tcW w:w="540" w:type="dxa"/>
            <w:vMerge w:val="restart"/>
            <w:tcBorders>
              <w:bottom w:val="nil"/>
            </w:tcBorders>
            <w:hideMark/>
          </w:tcPr>
          <w:p w14:paraId="39B83ACF" w14:textId="77777777" w:rsidR="00465776" w:rsidRPr="009468B6" w:rsidRDefault="00465776" w:rsidP="00613D10">
            <w:pPr>
              <w:pStyle w:val="Para"/>
              <w:rPr>
                <w:sz w:val="10"/>
                <w:szCs w:val="10"/>
              </w:rPr>
            </w:pPr>
            <w:r w:rsidRPr="009468B6">
              <w:rPr>
                <w:sz w:val="10"/>
                <w:szCs w:val="10"/>
              </w:rPr>
              <w:t>China</w:t>
            </w:r>
          </w:p>
        </w:tc>
        <w:tc>
          <w:tcPr>
            <w:tcW w:w="540" w:type="dxa"/>
            <w:vMerge w:val="restart"/>
            <w:tcBorders>
              <w:bottom w:val="nil"/>
            </w:tcBorders>
            <w:hideMark/>
          </w:tcPr>
          <w:p w14:paraId="6BB4E067" w14:textId="77777777" w:rsidR="00465776" w:rsidRPr="009468B6" w:rsidRDefault="00465776" w:rsidP="00613D10">
            <w:pPr>
              <w:pStyle w:val="Para"/>
              <w:rPr>
                <w:sz w:val="10"/>
                <w:szCs w:val="10"/>
              </w:rPr>
            </w:pPr>
            <w:r w:rsidRPr="009468B6">
              <w:rPr>
                <w:sz w:val="10"/>
                <w:szCs w:val="10"/>
              </w:rPr>
              <w:t>RCT</w:t>
            </w:r>
          </w:p>
        </w:tc>
        <w:tc>
          <w:tcPr>
            <w:tcW w:w="900" w:type="dxa"/>
            <w:vMerge w:val="restart"/>
            <w:tcBorders>
              <w:bottom w:val="nil"/>
            </w:tcBorders>
            <w:hideMark/>
          </w:tcPr>
          <w:p w14:paraId="1511BB05" w14:textId="77777777" w:rsidR="00465776" w:rsidRPr="009468B6" w:rsidRDefault="00465776" w:rsidP="00613D10">
            <w:pPr>
              <w:pStyle w:val="Para"/>
              <w:rPr>
                <w:sz w:val="10"/>
                <w:szCs w:val="10"/>
              </w:rPr>
            </w:pPr>
            <w:r w:rsidRPr="009468B6">
              <w:rPr>
                <w:sz w:val="10"/>
                <w:szCs w:val="10"/>
              </w:rPr>
              <w:t>Chinese Kawasaki Disease Collaboration Network (28 sites); NCT04078568</w:t>
            </w:r>
          </w:p>
        </w:tc>
        <w:tc>
          <w:tcPr>
            <w:tcW w:w="630" w:type="dxa"/>
            <w:vMerge w:val="restart"/>
            <w:tcBorders>
              <w:bottom w:val="nil"/>
            </w:tcBorders>
            <w:hideMark/>
          </w:tcPr>
          <w:p w14:paraId="64405BFF" w14:textId="77777777" w:rsidR="00465776" w:rsidRPr="009468B6" w:rsidRDefault="00465776" w:rsidP="00613D10">
            <w:pPr>
              <w:pStyle w:val="Para"/>
              <w:rPr>
                <w:sz w:val="10"/>
                <w:szCs w:val="10"/>
              </w:rPr>
            </w:pPr>
            <w:r w:rsidRPr="009468B6">
              <w:rPr>
                <w:sz w:val="10"/>
                <w:szCs w:val="10"/>
              </w:rPr>
              <w:t>January 2020 – November 2024</w:t>
            </w:r>
          </w:p>
        </w:tc>
        <w:tc>
          <w:tcPr>
            <w:tcW w:w="720" w:type="dxa"/>
            <w:vMerge w:val="restart"/>
            <w:tcBorders>
              <w:bottom w:val="nil"/>
            </w:tcBorders>
            <w:hideMark/>
          </w:tcPr>
          <w:p w14:paraId="141633C9" w14:textId="77777777" w:rsidR="00465776" w:rsidRPr="009468B6" w:rsidRDefault="00465776" w:rsidP="00613D10">
            <w:pPr>
              <w:pStyle w:val="Para"/>
              <w:rPr>
                <w:sz w:val="10"/>
                <w:szCs w:val="10"/>
              </w:rPr>
            </w:pPr>
            <w:r w:rsidRPr="009468B6">
              <w:rPr>
                <w:sz w:val="10"/>
                <w:szCs w:val="10"/>
              </w:rPr>
              <w:t>Unselected newly diagnosed KD</w:t>
            </w:r>
          </w:p>
        </w:tc>
        <w:tc>
          <w:tcPr>
            <w:tcW w:w="720" w:type="dxa"/>
            <w:vMerge w:val="restart"/>
            <w:tcBorders>
              <w:bottom w:val="nil"/>
            </w:tcBorders>
            <w:hideMark/>
          </w:tcPr>
          <w:p w14:paraId="32CD59F2" w14:textId="77777777" w:rsidR="00465776" w:rsidRPr="009468B6" w:rsidRDefault="00465776" w:rsidP="00613D10">
            <w:pPr>
              <w:pStyle w:val="Para"/>
              <w:rPr>
                <w:sz w:val="10"/>
                <w:szCs w:val="10"/>
              </w:rPr>
            </w:pPr>
            <w:r w:rsidRPr="009468B6">
              <w:rPr>
                <w:sz w:val="10"/>
                <w:szCs w:val="10"/>
              </w:rPr>
              <w:t>Yes (mixed)</w:t>
            </w:r>
          </w:p>
        </w:tc>
        <w:tc>
          <w:tcPr>
            <w:tcW w:w="900" w:type="dxa"/>
            <w:vMerge w:val="restart"/>
            <w:tcBorders>
              <w:bottom w:val="nil"/>
            </w:tcBorders>
            <w:hideMark/>
          </w:tcPr>
          <w:p w14:paraId="0B006E09" w14:textId="77777777" w:rsidR="00465776" w:rsidRPr="009468B6" w:rsidRDefault="00465776" w:rsidP="00613D10">
            <w:pPr>
              <w:pStyle w:val="Para"/>
              <w:rPr>
                <w:sz w:val="10"/>
                <w:szCs w:val="10"/>
              </w:rPr>
            </w:pPr>
            <w:r w:rsidRPr="009468B6">
              <w:rPr>
                <w:sz w:val="10"/>
                <w:szCs w:val="10"/>
              </w:rPr>
              <w:t>Persistent or recurrent fever (axillary ≥ 37.5 °C or rectal ≥ 38 °C) at 36 h after completion of the initial IVIG infusion</w:t>
            </w:r>
          </w:p>
        </w:tc>
        <w:tc>
          <w:tcPr>
            <w:tcW w:w="540" w:type="dxa"/>
            <w:vMerge w:val="restart"/>
            <w:tcBorders>
              <w:bottom w:val="nil"/>
            </w:tcBorders>
            <w:hideMark/>
          </w:tcPr>
          <w:p w14:paraId="2A8A0FEF" w14:textId="77777777" w:rsidR="00465776" w:rsidRPr="009468B6" w:rsidRDefault="00465776" w:rsidP="00613D10">
            <w:pPr>
              <w:pStyle w:val="Para"/>
              <w:rPr>
                <w:sz w:val="10"/>
                <w:szCs w:val="10"/>
              </w:rPr>
            </w:pPr>
            <w:r w:rsidRPr="009468B6">
              <w:rPr>
                <w:sz w:val="10"/>
                <w:szCs w:val="10"/>
              </w:rPr>
              <w:t>3</w:t>
            </w:r>
          </w:p>
        </w:tc>
        <w:tc>
          <w:tcPr>
            <w:tcW w:w="1440" w:type="dxa"/>
            <w:vMerge w:val="restart"/>
            <w:tcBorders>
              <w:bottom w:val="nil"/>
            </w:tcBorders>
            <w:hideMark/>
          </w:tcPr>
          <w:p w14:paraId="0D92144D" w14:textId="77777777" w:rsidR="00465776" w:rsidRPr="009468B6" w:rsidRDefault="00465776" w:rsidP="00613D10">
            <w:pPr>
              <w:pStyle w:val="Para"/>
              <w:rPr>
                <w:sz w:val="10"/>
                <w:szCs w:val="10"/>
              </w:rPr>
            </w:pPr>
            <w:r w:rsidRPr="009468B6">
              <w:rPr>
                <w:sz w:val="10"/>
                <w:szCs w:val="10"/>
              </w:rPr>
              <w:t>Children ≥ 1 month old meeting 2017 AHA KD criteria, diagnosed within 10 days of fever onset, with no prior IVIG treatment</w:t>
            </w:r>
          </w:p>
        </w:tc>
        <w:tc>
          <w:tcPr>
            <w:tcW w:w="4593" w:type="dxa"/>
            <w:vMerge w:val="restart"/>
            <w:tcBorders>
              <w:bottom w:val="nil"/>
            </w:tcBorders>
            <w:hideMark/>
          </w:tcPr>
          <w:p w14:paraId="38218499" w14:textId="77777777" w:rsidR="00465776" w:rsidRPr="009468B6" w:rsidRDefault="00465776" w:rsidP="00613D10">
            <w:pPr>
              <w:pStyle w:val="Para"/>
              <w:rPr>
                <w:sz w:val="10"/>
                <w:szCs w:val="10"/>
              </w:rPr>
            </w:pPr>
            <w:r w:rsidRPr="009468B6">
              <w:rPr>
                <w:sz w:val="10"/>
                <w:szCs w:val="10"/>
              </w:rPr>
              <w:t>This phase 3 randomized trial investigated the addition of adjunctive prednisolone to standard IVIG and aspirin therapy in unselected Chinese children with KD. The results demonstrated no significant reduction in the primary endpoint of coronary artery lesions at 1 month, which occurred in 16.0% of the prednisolone arm vs. 13.8% of the standard therapy arm. However, adjunctive prednisolone did yield significant secondary anti-inflammatory benefits, including a shorter median duration of fever (8.4 vs. 13.2 h) and a lower requirement for subsequent rescue therapy (4.6% vs. 10.1%) compared to the standard treatment cohort. The overall incidence of adverse events remained comparable between the two groups. Ultimately, despite accelerating clinical recovery and fever resolution, the routine addition of systemic glucocorticoids does not confer superior coronary protection over standard primary therapy in general populations.</w:t>
            </w:r>
          </w:p>
        </w:tc>
      </w:tr>
      <w:tr w:rsidR="00465776" w:rsidRPr="009468B6" w14:paraId="402BBA20" w14:textId="77777777" w:rsidTr="00613D10">
        <w:tc>
          <w:tcPr>
            <w:tcW w:w="535" w:type="dxa"/>
            <w:vMerge/>
            <w:tcBorders>
              <w:top w:val="nil"/>
              <w:bottom w:val="nil"/>
            </w:tcBorders>
            <w:hideMark/>
          </w:tcPr>
          <w:p w14:paraId="100F7694" w14:textId="77777777" w:rsidR="00465776" w:rsidRPr="009468B6" w:rsidRDefault="00465776" w:rsidP="00613D10">
            <w:pPr>
              <w:pStyle w:val="Para"/>
              <w:rPr>
                <w:sz w:val="10"/>
                <w:szCs w:val="10"/>
              </w:rPr>
            </w:pPr>
          </w:p>
        </w:tc>
        <w:tc>
          <w:tcPr>
            <w:tcW w:w="720" w:type="dxa"/>
            <w:tcBorders>
              <w:top w:val="nil"/>
              <w:bottom w:val="nil"/>
            </w:tcBorders>
            <w:hideMark/>
          </w:tcPr>
          <w:p w14:paraId="3C44C370" w14:textId="77777777" w:rsidR="00465776" w:rsidRPr="009468B6" w:rsidRDefault="00465776" w:rsidP="00613D10">
            <w:pPr>
              <w:pStyle w:val="Para"/>
              <w:rPr>
                <w:sz w:val="10"/>
                <w:szCs w:val="10"/>
              </w:rPr>
            </w:pPr>
            <w:r w:rsidRPr="009468B6">
              <w:rPr>
                <w:sz w:val="10"/>
                <w:szCs w:val="10"/>
              </w:rPr>
              <w:t xml:space="preserve">Standard Tx </w:t>
            </w:r>
          </w:p>
        </w:tc>
        <w:tc>
          <w:tcPr>
            <w:tcW w:w="450" w:type="dxa"/>
            <w:tcBorders>
              <w:top w:val="nil"/>
              <w:bottom w:val="nil"/>
            </w:tcBorders>
            <w:hideMark/>
          </w:tcPr>
          <w:p w14:paraId="350A77F4" w14:textId="77777777" w:rsidR="00465776" w:rsidRPr="009468B6" w:rsidRDefault="00465776" w:rsidP="00613D10">
            <w:pPr>
              <w:pStyle w:val="Para"/>
              <w:rPr>
                <w:sz w:val="10"/>
                <w:szCs w:val="10"/>
              </w:rPr>
            </w:pPr>
            <w:r w:rsidRPr="009468B6">
              <w:rPr>
                <w:sz w:val="10"/>
                <w:szCs w:val="10"/>
              </w:rPr>
              <w:t>1,604</w:t>
            </w:r>
          </w:p>
        </w:tc>
        <w:tc>
          <w:tcPr>
            <w:tcW w:w="540" w:type="dxa"/>
            <w:vMerge/>
            <w:tcBorders>
              <w:top w:val="nil"/>
              <w:bottom w:val="nil"/>
            </w:tcBorders>
            <w:hideMark/>
          </w:tcPr>
          <w:p w14:paraId="6DA8A46E" w14:textId="77777777" w:rsidR="00465776" w:rsidRPr="009468B6" w:rsidRDefault="00465776" w:rsidP="00613D10">
            <w:pPr>
              <w:pStyle w:val="Para"/>
              <w:rPr>
                <w:sz w:val="10"/>
                <w:szCs w:val="10"/>
              </w:rPr>
            </w:pPr>
          </w:p>
        </w:tc>
        <w:tc>
          <w:tcPr>
            <w:tcW w:w="540" w:type="dxa"/>
            <w:vMerge/>
            <w:tcBorders>
              <w:top w:val="nil"/>
              <w:bottom w:val="nil"/>
            </w:tcBorders>
            <w:hideMark/>
          </w:tcPr>
          <w:p w14:paraId="79B8F32A" w14:textId="77777777" w:rsidR="00465776" w:rsidRPr="009468B6" w:rsidRDefault="00465776" w:rsidP="00613D10">
            <w:pPr>
              <w:pStyle w:val="Para"/>
              <w:rPr>
                <w:sz w:val="10"/>
                <w:szCs w:val="10"/>
              </w:rPr>
            </w:pPr>
          </w:p>
        </w:tc>
        <w:tc>
          <w:tcPr>
            <w:tcW w:w="900" w:type="dxa"/>
            <w:vMerge/>
            <w:tcBorders>
              <w:top w:val="nil"/>
              <w:bottom w:val="nil"/>
            </w:tcBorders>
            <w:hideMark/>
          </w:tcPr>
          <w:p w14:paraId="47557EFB" w14:textId="77777777" w:rsidR="00465776" w:rsidRPr="009468B6" w:rsidRDefault="00465776" w:rsidP="00613D10">
            <w:pPr>
              <w:pStyle w:val="Para"/>
              <w:rPr>
                <w:sz w:val="10"/>
                <w:szCs w:val="10"/>
              </w:rPr>
            </w:pPr>
          </w:p>
        </w:tc>
        <w:tc>
          <w:tcPr>
            <w:tcW w:w="630" w:type="dxa"/>
            <w:vMerge/>
            <w:tcBorders>
              <w:top w:val="nil"/>
              <w:bottom w:val="nil"/>
            </w:tcBorders>
            <w:hideMark/>
          </w:tcPr>
          <w:p w14:paraId="35F52C3D" w14:textId="77777777" w:rsidR="00465776" w:rsidRPr="009468B6" w:rsidRDefault="00465776" w:rsidP="00613D10">
            <w:pPr>
              <w:pStyle w:val="Para"/>
              <w:rPr>
                <w:sz w:val="10"/>
                <w:szCs w:val="10"/>
              </w:rPr>
            </w:pPr>
          </w:p>
        </w:tc>
        <w:tc>
          <w:tcPr>
            <w:tcW w:w="720" w:type="dxa"/>
            <w:vMerge/>
            <w:tcBorders>
              <w:top w:val="nil"/>
              <w:bottom w:val="nil"/>
            </w:tcBorders>
            <w:hideMark/>
          </w:tcPr>
          <w:p w14:paraId="19AEFDD3" w14:textId="77777777" w:rsidR="00465776" w:rsidRPr="009468B6" w:rsidRDefault="00465776" w:rsidP="00613D10">
            <w:pPr>
              <w:pStyle w:val="Para"/>
              <w:rPr>
                <w:sz w:val="10"/>
                <w:szCs w:val="10"/>
              </w:rPr>
            </w:pPr>
          </w:p>
        </w:tc>
        <w:tc>
          <w:tcPr>
            <w:tcW w:w="720" w:type="dxa"/>
            <w:vMerge/>
            <w:tcBorders>
              <w:top w:val="nil"/>
              <w:bottom w:val="nil"/>
            </w:tcBorders>
            <w:hideMark/>
          </w:tcPr>
          <w:p w14:paraId="694C3D13" w14:textId="77777777" w:rsidR="00465776" w:rsidRPr="009468B6" w:rsidRDefault="00465776" w:rsidP="00613D10">
            <w:pPr>
              <w:pStyle w:val="Para"/>
              <w:rPr>
                <w:sz w:val="10"/>
                <w:szCs w:val="10"/>
              </w:rPr>
            </w:pPr>
          </w:p>
        </w:tc>
        <w:tc>
          <w:tcPr>
            <w:tcW w:w="900" w:type="dxa"/>
            <w:vMerge/>
            <w:tcBorders>
              <w:top w:val="nil"/>
              <w:bottom w:val="nil"/>
            </w:tcBorders>
            <w:hideMark/>
          </w:tcPr>
          <w:p w14:paraId="2CCFEF4D" w14:textId="77777777" w:rsidR="00465776" w:rsidRPr="009468B6" w:rsidRDefault="00465776" w:rsidP="00613D10">
            <w:pPr>
              <w:pStyle w:val="Para"/>
              <w:rPr>
                <w:sz w:val="10"/>
                <w:szCs w:val="10"/>
              </w:rPr>
            </w:pPr>
          </w:p>
        </w:tc>
        <w:tc>
          <w:tcPr>
            <w:tcW w:w="540" w:type="dxa"/>
            <w:vMerge/>
            <w:tcBorders>
              <w:top w:val="nil"/>
              <w:bottom w:val="nil"/>
            </w:tcBorders>
            <w:hideMark/>
          </w:tcPr>
          <w:p w14:paraId="401C17F1" w14:textId="77777777" w:rsidR="00465776" w:rsidRPr="009468B6" w:rsidRDefault="00465776" w:rsidP="00613D10">
            <w:pPr>
              <w:pStyle w:val="Para"/>
              <w:rPr>
                <w:sz w:val="10"/>
                <w:szCs w:val="10"/>
              </w:rPr>
            </w:pPr>
          </w:p>
        </w:tc>
        <w:tc>
          <w:tcPr>
            <w:tcW w:w="1440" w:type="dxa"/>
            <w:vMerge/>
            <w:tcBorders>
              <w:top w:val="nil"/>
              <w:bottom w:val="nil"/>
            </w:tcBorders>
            <w:hideMark/>
          </w:tcPr>
          <w:p w14:paraId="10CF5085" w14:textId="77777777" w:rsidR="00465776" w:rsidRPr="009468B6" w:rsidRDefault="00465776" w:rsidP="00613D10">
            <w:pPr>
              <w:pStyle w:val="Para"/>
              <w:rPr>
                <w:sz w:val="10"/>
                <w:szCs w:val="10"/>
              </w:rPr>
            </w:pPr>
          </w:p>
        </w:tc>
        <w:tc>
          <w:tcPr>
            <w:tcW w:w="4593" w:type="dxa"/>
            <w:vMerge/>
            <w:tcBorders>
              <w:top w:val="nil"/>
              <w:bottom w:val="nil"/>
            </w:tcBorders>
            <w:hideMark/>
          </w:tcPr>
          <w:p w14:paraId="7C50BB3B" w14:textId="77777777" w:rsidR="00465776" w:rsidRPr="009468B6" w:rsidRDefault="00465776" w:rsidP="00613D10">
            <w:pPr>
              <w:pStyle w:val="Para"/>
              <w:rPr>
                <w:sz w:val="10"/>
                <w:szCs w:val="10"/>
              </w:rPr>
            </w:pPr>
          </w:p>
        </w:tc>
      </w:tr>
      <w:tr w:rsidR="00465776" w:rsidRPr="009468B6" w14:paraId="3305137F" w14:textId="77777777" w:rsidTr="00613D10">
        <w:tc>
          <w:tcPr>
            <w:tcW w:w="535" w:type="dxa"/>
            <w:vMerge w:val="restart"/>
            <w:tcBorders>
              <w:top w:val="nil"/>
              <w:bottom w:val="nil"/>
            </w:tcBorders>
            <w:hideMark/>
          </w:tcPr>
          <w:p w14:paraId="6890227B" w14:textId="77777777" w:rsidR="00465776" w:rsidRPr="009468B6" w:rsidRDefault="00465776" w:rsidP="00613D10">
            <w:pPr>
              <w:pStyle w:val="Para"/>
              <w:rPr>
                <w:sz w:val="10"/>
                <w:szCs w:val="10"/>
              </w:rPr>
            </w:pPr>
            <w:r w:rsidRPr="009468B6">
              <w:rPr>
                <w:sz w:val="10"/>
                <w:szCs w:val="10"/>
              </w:rPr>
              <w:t>Kobayashi et al, 2012 [15]</w:t>
            </w:r>
          </w:p>
        </w:tc>
        <w:tc>
          <w:tcPr>
            <w:tcW w:w="720" w:type="dxa"/>
            <w:tcBorders>
              <w:top w:val="nil"/>
              <w:bottom w:val="nil"/>
            </w:tcBorders>
            <w:hideMark/>
          </w:tcPr>
          <w:p w14:paraId="7C87C61C" w14:textId="77777777" w:rsidR="00465776" w:rsidRPr="009468B6" w:rsidRDefault="00465776" w:rsidP="00613D10">
            <w:pPr>
              <w:pStyle w:val="Para"/>
              <w:rPr>
                <w:sz w:val="10"/>
                <w:szCs w:val="10"/>
              </w:rPr>
            </w:pPr>
            <w:r w:rsidRPr="009468B6">
              <w:rPr>
                <w:sz w:val="10"/>
                <w:szCs w:val="10"/>
              </w:rPr>
              <w:t>Standard Tx + corticosteroids</w:t>
            </w:r>
          </w:p>
        </w:tc>
        <w:tc>
          <w:tcPr>
            <w:tcW w:w="450" w:type="dxa"/>
            <w:tcBorders>
              <w:top w:val="nil"/>
              <w:bottom w:val="nil"/>
            </w:tcBorders>
            <w:hideMark/>
          </w:tcPr>
          <w:p w14:paraId="7FC822EB" w14:textId="77777777" w:rsidR="00465776" w:rsidRPr="009468B6" w:rsidRDefault="00465776" w:rsidP="00613D10">
            <w:pPr>
              <w:pStyle w:val="Para"/>
              <w:rPr>
                <w:sz w:val="10"/>
                <w:szCs w:val="10"/>
              </w:rPr>
            </w:pPr>
            <w:r w:rsidRPr="009468B6">
              <w:rPr>
                <w:sz w:val="10"/>
                <w:szCs w:val="10"/>
              </w:rPr>
              <w:t>248</w:t>
            </w:r>
          </w:p>
        </w:tc>
        <w:tc>
          <w:tcPr>
            <w:tcW w:w="540" w:type="dxa"/>
            <w:vMerge w:val="restart"/>
            <w:tcBorders>
              <w:top w:val="nil"/>
              <w:bottom w:val="nil"/>
            </w:tcBorders>
            <w:hideMark/>
          </w:tcPr>
          <w:p w14:paraId="3BF0903A" w14:textId="77777777" w:rsidR="00465776" w:rsidRPr="009468B6" w:rsidRDefault="00465776" w:rsidP="00613D10">
            <w:pPr>
              <w:pStyle w:val="Para"/>
              <w:rPr>
                <w:sz w:val="10"/>
                <w:szCs w:val="10"/>
              </w:rPr>
            </w:pPr>
            <w:r w:rsidRPr="009468B6">
              <w:rPr>
                <w:sz w:val="10"/>
                <w:szCs w:val="10"/>
              </w:rPr>
              <w:t>Japan</w:t>
            </w:r>
          </w:p>
        </w:tc>
        <w:tc>
          <w:tcPr>
            <w:tcW w:w="540" w:type="dxa"/>
            <w:vMerge w:val="restart"/>
            <w:tcBorders>
              <w:top w:val="nil"/>
              <w:bottom w:val="nil"/>
            </w:tcBorders>
            <w:hideMark/>
          </w:tcPr>
          <w:p w14:paraId="16D9C87B" w14:textId="77777777" w:rsidR="00465776" w:rsidRPr="009468B6" w:rsidRDefault="00465776" w:rsidP="00613D10">
            <w:pPr>
              <w:pStyle w:val="Para"/>
              <w:rPr>
                <w:sz w:val="10"/>
                <w:szCs w:val="10"/>
              </w:rPr>
            </w:pPr>
            <w:r w:rsidRPr="009468B6">
              <w:rPr>
                <w:sz w:val="10"/>
                <w:szCs w:val="10"/>
              </w:rPr>
              <w:t>RCT</w:t>
            </w:r>
          </w:p>
        </w:tc>
        <w:tc>
          <w:tcPr>
            <w:tcW w:w="900" w:type="dxa"/>
            <w:vMerge w:val="restart"/>
            <w:tcBorders>
              <w:top w:val="nil"/>
              <w:bottom w:val="nil"/>
            </w:tcBorders>
            <w:hideMark/>
          </w:tcPr>
          <w:p w14:paraId="3BECCE22" w14:textId="77777777" w:rsidR="00465776" w:rsidRPr="009468B6" w:rsidRDefault="00465776" w:rsidP="00613D10">
            <w:pPr>
              <w:pStyle w:val="Para"/>
              <w:rPr>
                <w:sz w:val="10"/>
                <w:szCs w:val="10"/>
              </w:rPr>
            </w:pPr>
            <w:r w:rsidRPr="009468B6">
              <w:rPr>
                <w:sz w:val="10"/>
                <w:szCs w:val="10"/>
              </w:rPr>
              <w:t>RAISE study group (74 hospitals); UMIN000000940</w:t>
            </w:r>
          </w:p>
        </w:tc>
        <w:tc>
          <w:tcPr>
            <w:tcW w:w="630" w:type="dxa"/>
            <w:vMerge w:val="restart"/>
            <w:tcBorders>
              <w:top w:val="nil"/>
              <w:bottom w:val="nil"/>
            </w:tcBorders>
            <w:hideMark/>
          </w:tcPr>
          <w:p w14:paraId="06ACB1B7" w14:textId="77777777" w:rsidR="00465776" w:rsidRPr="009468B6" w:rsidRDefault="00465776" w:rsidP="00613D10">
            <w:pPr>
              <w:pStyle w:val="Para"/>
              <w:rPr>
                <w:sz w:val="10"/>
                <w:szCs w:val="10"/>
              </w:rPr>
            </w:pPr>
            <w:r w:rsidRPr="009468B6">
              <w:rPr>
                <w:sz w:val="10"/>
                <w:szCs w:val="10"/>
              </w:rPr>
              <w:t>September 2008 – December 2010</w:t>
            </w:r>
          </w:p>
        </w:tc>
        <w:tc>
          <w:tcPr>
            <w:tcW w:w="720" w:type="dxa"/>
            <w:vMerge w:val="restart"/>
            <w:tcBorders>
              <w:top w:val="nil"/>
              <w:bottom w:val="nil"/>
            </w:tcBorders>
            <w:hideMark/>
          </w:tcPr>
          <w:p w14:paraId="2A2A7846" w14:textId="77777777" w:rsidR="00465776" w:rsidRPr="009468B6" w:rsidRDefault="00465776" w:rsidP="00613D10">
            <w:pPr>
              <w:pStyle w:val="Para"/>
              <w:rPr>
                <w:sz w:val="10"/>
                <w:szCs w:val="10"/>
              </w:rPr>
            </w:pPr>
            <w:r w:rsidRPr="009468B6">
              <w:rPr>
                <w:sz w:val="10"/>
                <w:szCs w:val="10"/>
              </w:rPr>
              <w:t>High-risk/severe KD predicted to be IVIG-resistant</w:t>
            </w:r>
          </w:p>
        </w:tc>
        <w:tc>
          <w:tcPr>
            <w:tcW w:w="720" w:type="dxa"/>
            <w:vMerge w:val="restart"/>
            <w:tcBorders>
              <w:top w:val="nil"/>
              <w:bottom w:val="nil"/>
            </w:tcBorders>
            <w:hideMark/>
          </w:tcPr>
          <w:p w14:paraId="3A54D126" w14:textId="77777777" w:rsidR="00465776" w:rsidRPr="009468B6" w:rsidRDefault="00465776" w:rsidP="00613D10">
            <w:pPr>
              <w:pStyle w:val="Para"/>
              <w:rPr>
                <w:sz w:val="10"/>
                <w:szCs w:val="10"/>
              </w:rPr>
            </w:pPr>
            <w:r w:rsidRPr="009468B6">
              <w:rPr>
                <w:sz w:val="10"/>
                <w:szCs w:val="10"/>
              </w:rPr>
              <w:t>No</w:t>
            </w:r>
          </w:p>
        </w:tc>
        <w:tc>
          <w:tcPr>
            <w:tcW w:w="900" w:type="dxa"/>
            <w:vMerge w:val="restart"/>
            <w:tcBorders>
              <w:top w:val="nil"/>
              <w:bottom w:val="nil"/>
            </w:tcBorders>
            <w:hideMark/>
          </w:tcPr>
          <w:p w14:paraId="62E86FBA" w14:textId="77777777" w:rsidR="00465776" w:rsidRPr="009468B6" w:rsidRDefault="00465776" w:rsidP="00613D10">
            <w:pPr>
              <w:pStyle w:val="Para"/>
              <w:rPr>
                <w:sz w:val="10"/>
                <w:szCs w:val="10"/>
              </w:rPr>
            </w:pPr>
            <w:r w:rsidRPr="009468B6">
              <w:rPr>
                <w:sz w:val="10"/>
                <w:szCs w:val="10"/>
              </w:rPr>
              <w:t>Axillary temperature ≥ 37.5 °C lasting more than 24 h after completion of primary treatment</w:t>
            </w:r>
          </w:p>
        </w:tc>
        <w:tc>
          <w:tcPr>
            <w:tcW w:w="540" w:type="dxa"/>
            <w:vMerge w:val="restart"/>
            <w:tcBorders>
              <w:top w:val="nil"/>
              <w:bottom w:val="nil"/>
            </w:tcBorders>
            <w:hideMark/>
          </w:tcPr>
          <w:p w14:paraId="0A131302" w14:textId="77777777" w:rsidR="00465776" w:rsidRPr="009468B6" w:rsidRDefault="00465776" w:rsidP="00613D10">
            <w:pPr>
              <w:pStyle w:val="Para"/>
              <w:rPr>
                <w:sz w:val="10"/>
                <w:szCs w:val="10"/>
              </w:rPr>
            </w:pPr>
            <w:r w:rsidRPr="009468B6">
              <w:rPr>
                <w:sz w:val="10"/>
                <w:szCs w:val="10"/>
              </w:rPr>
              <w:t>1</w:t>
            </w:r>
          </w:p>
        </w:tc>
        <w:tc>
          <w:tcPr>
            <w:tcW w:w="1440" w:type="dxa"/>
            <w:vMerge w:val="restart"/>
            <w:tcBorders>
              <w:top w:val="nil"/>
              <w:bottom w:val="nil"/>
            </w:tcBorders>
            <w:hideMark/>
          </w:tcPr>
          <w:p w14:paraId="18CCDE70" w14:textId="77777777" w:rsidR="00465776" w:rsidRPr="009468B6" w:rsidRDefault="00465776" w:rsidP="00613D10">
            <w:pPr>
              <w:pStyle w:val="Para"/>
              <w:rPr>
                <w:sz w:val="10"/>
                <w:szCs w:val="10"/>
              </w:rPr>
            </w:pPr>
            <w:r w:rsidRPr="009468B6">
              <w:rPr>
                <w:sz w:val="10"/>
                <w:szCs w:val="10"/>
              </w:rPr>
              <w:t>Japanese patients meeting KD diagnostic guidelines with a risk score ≥ 5 points (predictive of IVIG non-response). Excluded those with illness duration ≥9 days, baseline CAA, prior KD history, recent corticosteroid/IVIG use, or severe comorbidities.</w:t>
            </w:r>
          </w:p>
        </w:tc>
        <w:tc>
          <w:tcPr>
            <w:tcW w:w="4593" w:type="dxa"/>
            <w:vMerge w:val="restart"/>
            <w:tcBorders>
              <w:top w:val="nil"/>
              <w:bottom w:val="nil"/>
            </w:tcBorders>
            <w:hideMark/>
          </w:tcPr>
          <w:p w14:paraId="067E36B3" w14:textId="77777777" w:rsidR="00465776" w:rsidRPr="009468B6" w:rsidRDefault="00465776" w:rsidP="00613D10">
            <w:pPr>
              <w:pStyle w:val="Para"/>
              <w:rPr>
                <w:sz w:val="10"/>
                <w:szCs w:val="10"/>
              </w:rPr>
            </w:pPr>
            <w:r w:rsidRPr="009468B6">
              <w:rPr>
                <w:sz w:val="10"/>
                <w:szCs w:val="10"/>
              </w:rPr>
              <w:t>This multicenter RCT evaluated the efficacy of adding a prolonged course of prednisolone to standard IVIG and aspirin therapy in Japanese children with severe, high-risk KD. The intervention significantly reduced the primary endpoint, the incidence of CAA, which occurred in only 3% of the prednisolone group compared to 23% in the standard therapy group. Furthermore, patients receiving adjunctive prednisolone experienced more rapid fever resolution, quicker normalization of inflammatory markers such as CRP, and a markedly reduced need for secondary rescue treatments. Both study arms demonstrated a similar, low incidence of serious adverse events, including isolated cases of hypercholesterolemia and neutropenia; however, the study lacked sufficient power to detect extremely rare events. Overall, these findings strongly support the early addition of corticosteroids to standard therapy to improve coronary outcomes in high-risk KD populations.</w:t>
            </w:r>
          </w:p>
        </w:tc>
      </w:tr>
      <w:tr w:rsidR="00465776" w:rsidRPr="009468B6" w14:paraId="23B15AE3" w14:textId="77777777" w:rsidTr="00613D10">
        <w:tc>
          <w:tcPr>
            <w:tcW w:w="535" w:type="dxa"/>
            <w:vMerge/>
            <w:tcBorders>
              <w:top w:val="nil"/>
              <w:bottom w:val="nil"/>
            </w:tcBorders>
            <w:hideMark/>
          </w:tcPr>
          <w:p w14:paraId="64C9B7E4" w14:textId="77777777" w:rsidR="00465776" w:rsidRPr="009468B6" w:rsidRDefault="00465776" w:rsidP="00613D10">
            <w:pPr>
              <w:pStyle w:val="Para"/>
              <w:rPr>
                <w:sz w:val="10"/>
                <w:szCs w:val="10"/>
              </w:rPr>
            </w:pPr>
          </w:p>
        </w:tc>
        <w:tc>
          <w:tcPr>
            <w:tcW w:w="720" w:type="dxa"/>
            <w:tcBorders>
              <w:top w:val="nil"/>
              <w:bottom w:val="nil"/>
            </w:tcBorders>
            <w:hideMark/>
          </w:tcPr>
          <w:p w14:paraId="29A08DFB" w14:textId="77777777" w:rsidR="00465776" w:rsidRPr="009468B6" w:rsidRDefault="00465776" w:rsidP="00613D10">
            <w:pPr>
              <w:pStyle w:val="Para"/>
              <w:rPr>
                <w:sz w:val="10"/>
                <w:szCs w:val="10"/>
              </w:rPr>
            </w:pPr>
            <w:r w:rsidRPr="009468B6">
              <w:rPr>
                <w:sz w:val="10"/>
                <w:szCs w:val="10"/>
              </w:rPr>
              <w:t>Standard Tx</w:t>
            </w:r>
          </w:p>
        </w:tc>
        <w:tc>
          <w:tcPr>
            <w:tcW w:w="450" w:type="dxa"/>
            <w:tcBorders>
              <w:top w:val="nil"/>
              <w:bottom w:val="nil"/>
            </w:tcBorders>
            <w:hideMark/>
          </w:tcPr>
          <w:p w14:paraId="0F739C18" w14:textId="77777777" w:rsidR="00465776" w:rsidRPr="009468B6" w:rsidRDefault="00465776" w:rsidP="00613D10">
            <w:pPr>
              <w:pStyle w:val="Para"/>
              <w:rPr>
                <w:sz w:val="10"/>
                <w:szCs w:val="10"/>
              </w:rPr>
            </w:pPr>
            <w:r w:rsidRPr="009468B6">
              <w:rPr>
                <w:sz w:val="10"/>
                <w:szCs w:val="10"/>
              </w:rPr>
              <w:t>123</w:t>
            </w:r>
          </w:p>
        </w:tc>
        <w:tc>
          <w:tcPr>
            <w:tcW w:w="540" w:type="dxa"/>
            <w:vMerge/>
            <w:tcBorders>
              <w:top w:val="nil"/>
              <w:bottom w:val="nil"/>
            </w:tcBorders>
            <w:hideMark/>
          </w:tcPr>
          <w:p w14:paraId="61380A40" w14:textId="77777777" w:rsidR="00465776" w:rsidRPr="009468B6" w:rsidRDefault="00465776" w:rsidP="00613D10">
            <w:pPr>
              <w:pStyle w:val="Para"/>
              <w:rPr>
                <w:sz w:val="10"/>
                <w:szCs w:val="10"/>
              </w:rPr>
            </w:pPr>
          </w:p>
        </w:tc>
        <w:tc>
          <w:tcPr>
            <w:tcW w:w="540" w:type="dxa"/>
            <w:vMerge/>
            <w:tcBorders>
              <w:top w:val="nil"/>
              <w:bottom w:val="nil"/>
            </w:tcBorders>
            <w:hideMark/>
          </w:tcPr>
          <w:p w14:paraId="3DEE28AB" w14:textId="77777777" w:rsidR="00465776" w:rsidRPr="009468B6" w:rsidRDefault="00465776" w:rsidP="00613D10">
            <w:pPr>
              <w:pStyle w:val="Para"/>
              <w:rPr>
                <w:sz w:val="10"/>
                <w:szCs w:val="10"/>
              </w:rPr>
            </w:pPr>
          </w:p>
        </w:tc>
        <w:tc>
          <w:tcPr>
            <w:tcW w:w="900" w:type="dxa"/>
            <w:vMerge/>
            <w:tcBorders>
              <w:top w:val="nil"/>
              <w:bottom w:val="nil"/>
            </w:tcBorders>
            <w:hideMark/>
          </w:tcPr>
          <w:p w14:paraId="749B05C7" w14:textId="77777777" w:rsidR="00465776" w:rsidRPr="009468B6" w:rsidRDefault="00465776" w:rsidP="00613D10">
            <w:pPr>
              <w:pStyle w:val="Para"/>
              <w:rPr>
                <w:sz w:val="10"/>
                <w:szCs w:val="10"/>
              </w:rPr>
            </w:pPr>
          </w:p>
        </w:tc>
        <w:tc>
          <w:tcPr>
            <w:tcW w:w="630" w:type="dxa"/>
            <w:vMerge/>
            <w:tcBorders>
              <w:top w:val="nil"/>
              <w:bottom w:val="nil"/>
            </w:tcBorders>
            <w:hideMark/>
          </w:tcPr>
          <w:p w14:paraId="7A39A571" w14:textId="77777777" w:rsidR="00465776" w:rsidRPr="009468B6" w:rsidRDefault="00465776" w:rsidP="00613D10">
            <w:pPr>
              <w:pStyle w:val="Para"/>
              <w:rPr>
                <w:sz w:val="10"/>
                <w:szCs w:val="10"/>
              </w:rPr>
            </w:pPr>
          </w:p>
        </w:tc>
        <w:tc>
          <w:tcPr>
            <w:tcW w:w="720" w:type="dxa"/>
            <w:vMerge/>
            <w:tcBorders>
              <w:top w:val="nil"/>
              <w:bottom w:val="nil"/>
            </w:tcBorders>
            <w:hideMark/>
          </w:tcPr>
          <w:p w14:paraId="108CCD86" w14:textId="77777777" w:rsidR="00465776" w:rsidRPr="009468B6" w:rsidRDefault="00465776" w:rsidP="00613D10">
            <w:pPr>
              <w:pStyle w:val="Para"/>
              <w:rPr>
                <w:sz w:val="10"/>
                <w:szCs w:val="10"/>
              </w:rPr>
            </w:pPr>
          </w:p>
        </w:tc>
        <w:tc>
          <w:tcPr>
            <w:tcW w:w="720" w:type="dxa"/>
            <w:vMerge/>
            <w:tcBorders>
              <w:top w:val="nil"/>
              <w:bottom w:val="nil"/>
            </w:tcBorders>
            <w:hideMark/>
          </w:tcPr>
          <w:p w14:paraId="04B54FB2" w14:textId="77777777" w:rsidR="00465776" w:rsidRPr="009468B6" w:rsidRDefault="00465776" w:rsidP="00613D10">
            <w:pPr>
              <w:pStyle w:val="Para"/>
              <w:rPr>
                <w:sz w:val="10"/>
                <w:szCs w:val="10"/>
              </w:rPr>
            </w:pPr>
          </w:p>
        </w:tc>
        <w:tc>
          <w:tcPr>
            <w:tcW w:w="900" w:type="dxa"/>
            <w:vMerge/>
            <w:tcBorders>
              <w:top w:val="nil"/>
              <w:bottom w:val="nil"/>
            </w:tcBorders>
            <w:hideMark/>
          </w:tcPr>
          <w:p w14:paraId="3ABF141D" w14:textId="77777777" w:rsidR="00465776" w:rsidRPr="009468B6" w:rsidRDefault="00465776" w:rsidP="00613D10">
            <w:pPr>
              <w:pStyle w:val="Para"/>
              <w:rPr>
                <w:sz w:val="10"/>
                <w:szCs w:val="10"/>
              </w:rPr>
            </w:pPr>
          </w:p>
        </w:tc>
        <w:tc>
          <w:tcPr>
            <w:tcW w:w="540" w:type="dxa"/>
            <w:vMerge/>
            <w:tcBorders>
              <w:top w:val="nil"/>
              <w:bottom w:val="nil"/>
            </w:tcBorders>
            <w:hideMark/>
          </w:tcPr>
          <w:p w14:paraId="4F737C11" w14:textId="77777777" w:rsidR="00465776" w:rsidRPr="009468B6" w:rsidRDefault="00465776" w:rsidP="00613D10">
            <w:pPr>
              <w:pStyle w:val="Para"/>
              <w:rPr>
                <w:sz w:val="10"/>
                <w:szCs w:val="10"/>
              </w:rPr>
            </w:pPr>
          </w:p>
        </w:tc>
        <w:tc>
          <w:tcPr>
            <w:tcW w:w="1440" w:type="dxa"/>
            <w:vMerge/>
            <w:tcBorders>
              <w:top w:val="nil"/>
              <w:bottom w:val="nil"/>
            </w:tcBorders>
            <w:hideMark/>
          </w:tcPr>
          <w:p w14:paraId="1C6B88B8" w14:textId="77777777" w:rsidR="00465776" w:rsidRPr="009468B6" w:rsidRDefault="00465776" w:rsidP="00613D10">
            <w:pPr>
              <w:pStyle w:val="Para"/>
              <w:rPr>
                <w:sz w:val="10"/>
                <w:szCs w:val="10"/>
              </w:rPr>
            </w:pPr>
          </w:p>
        </w:tc>
        <w:tc>
          <w:tcPr>
            <w:tcW w:w="4593" w:type="dxa"/>
            <w:vMerge/>
            <w:tcBorders>
              <w:top w:val="nil"/>
              <w:bottom w:val="nil"/>
            </w:tcBorders>
            <w:hideMark/>
          </w:tcPr>
          <w:p w14:paraId="6468CDF0" w14:textId="77777777" w:rsidR="00465776" w:rsidRPr="009468B6" w:rsidRDefault="00465776" w:rsidP="00613D10">
            <w:pPr>
              <w:pStyle w:val="Para"/>
              <w:rPr>
                <w:sz w:val="10"/>
                <w:szCs w:val="10"/>
              </w:rPr>
            </w:pPr>
          </w:p>
        </w:tc>
      </w:tr>
      <w:tr w:rsidR="00465776" w:rsidRPr="009468B6" w14:paraId="1FC15668" w14:textId="77777777" w:rsidTr="00613D10">
        <w:tc>
          <w:tcPr>
            <w:tcW w:w="535" w:type="dxa"/>
            <w:vMerge w:val="restart"/>
            <w:tcBorders>
              <w:top w:val="nil"/>
              <w:bottom w:val="nil"/>
            </w:tcBorders>
            <w:hideMark/>
          </w:tcPr>
          <w:p w14:paraId="65F8831D" w14:textId="77777777" w:rsidR="00465776" w:rsidRPr="009468B6" w:rsidRDefault="00465776" w:rsidP="00613D10">
            <w:pPr>
              <w:pStyle w:val="Para"/>
              <w:rPr>
                <w:sz w:val="10"/>
                <w:szCs w:val="10"/>
              </w:rPr>
            </w:pPr>
            <w:r w:rsidRPr="009468B6">
              <w:rPr>
                <w:sz w:val="10"/>
                <w:szCs w:val="10"/>
              </w:rPr>
              <w:t>Ogata et al, 2012 [22]</w:t>
            </w:r>
          </w:p>
        </w:tc>
        <w:tc>
          <w:tcPr>
            <w:tcW w:w="720" w:type="dxa"/>
            <w:tcBorders>
              <w:top w:val="nil"/>
              <w:bottom w:val="nil"/>
            </w:tcBorders>
            <w:hideMark/>
          </w:tcPr>
          <w:p w14:paraId="09CAE8C6" w14:textId="77777777" w:rsidR="00465776" w:rsidRPr="009468B6" w:rsidRDefault="00465776" w:rsidP="00613D10">
            <w:pPr>
              <w:pStyle w:val="Para"/>
              <w:rPr>
                <w:sz w:val="10"/>
                <w:szCs w:val="10"/>
              </w:rPr>
            </w:pPr>
            <w:r w:rsidRPr="009468B6">
              <w:rPr>
                <w:sz w:val="10"/>
                <w:szCs w:val="10"/>
              </w:rPr>
              <w:t>Standard Tx + corticosteroids</w:t>
            </w:r>
          </w:p>
        </w:tc>
        <w:tc>
          <w:tcPr>
            <w:tcW w:w="450" w:type="dxa"/>
            <w:tcBorders>
              <w:top w:val="nil"/>
              <w:bottom w:val="nil"/>
            </w:tcBorders>
            <w:hideMark/>
          </w:tcPr>
          <w:p w14:paraId="4850A35C" w14:textId="77777777" w:rsidR="00465776" w:rsidRPr="009468B6" w:rsidRDefault="00465776" w:rsidP="00613D10">
            <w:pPr>
              <w:pStyle w:val="Para"/>
              <w:rPr>
                <w:sz w:val="10"/>
                <w:szCs w:val="10"/>
              </w:rPr>
            </w:pPr>
            <w:r w:rsidRPr="009468B6">
              <w:rPr>
                <w:sz w:val="10"/>
                <w:szCs w:val="10"/>
              </w:rPr>
              <w:t>22</w:t>
            </w:r>
          </w:p>
        </w:tc>
        <w:tc>
          <w:tcPr>
            <w:tcW w:w="540" w:type="dxa"/>
            <w:vMerge w:val="restart"/>
            <w:tcBorders>
              <w:top w:val="nil"/>
              <w:bottom w:val="nil"/>
            </w:tcBorders>
            <w:hideMark/>
          </w:tcPr>
          <w:p w14:paraId="5897D96F" w14:textId="77777777" w:rsidR="00465776" w:rsidRPr="009468B6" w:rsidRDefault="00465776" w:rsidP="00613D10">
            <w:pPr>
              <w:pStyle w:val="Para"/>
              <w:rPr>
                <w:sz w:val="10"/>
                <w:szCs w:val="10"/>
              </w:rPr>
            </w:pPr>
            <w:r w:rsidRPr="009468B6">
              <w:rPr>
                <w:sz w:val="10"/>
                <w:szCs w:val="10"/>
              </w:rPr>
              <w:t>Japan</w:t>
            </w:r>
          </w:p>
        </w:tc>
        <w:tc>
          <w:tcPr>
            <w:tcW w:w="540" w:type="dxa"/>
            <w:vMerge w:val="restart"/>
            <w:tcBorders>
              <w:top w:val="nil"/>
              <w:bottom w:val="nil"/>
            </w:tcBorders>
            <w:hideMark/>
          </w:tcPr>
          <w:p w14:paraId="547D6F6F" w14:textId="77777777" w:rsidR="00465776" w:rsidRPr="009468B6" w:rsidRDefault="00465776" w:rsidP="00613D10">
            <w:pPr>
              <w:pStyle w:val="Para"/>
              <w:rPr>
                <w:sz w:val="10"/>
                <w:szCs w:val="10"/>
              </w:rPr>
            </w:pPr>
            <w:r w:rsidRPr="009468B6">
              <w:rPr>
                <w:sz w:val="10"/>
                <w:szCs w:val="10"/>
              </w:rPr>
              <w:t>RCT</w:t>
            </w:r>
          </w:p>
        </w:tc>
        <w:tc>
          <w:tcPr>
            <w:tcW w:w="900" w:type="dxa"/>
            <w:vMerge w:val="restart"/>
            <w:tcBorders>
              <w:top w:val="nil"/>
              <w:bottom w:val="nil"/>
            </w:tcBorders>
            <w:hideMark/>
          </w:tcPr>
          <w:p w14:paraId="6B28D5AE" w14:textId="77777777" w:rsidR="00465776" w:rsidRPr="009468B6" w:rsidRDefault="00465776" w:rsidP="00613D10">
            <w:pPr>
              <w:pStyle w:val="Para"/>
              <w:rPr>
                <w:sz w:val="10"/>
                <w:szCs w:val="10"/>
              </w:rPr>
            </w:pPr>
            <w:r w:rsidRPr="009468B6">
              <w:rPr>
                <w:sz w:val="10"/>
                <w:szCs w:val="10"/>
              </w:rPr>
              <w:t>Kitasato University Hospital; UMIN000005021</w:t>
            </w:r>
          </w:p>
        </w:tc>
        <w:tc>
          <w:tcPr>
            <w:tcW w:w="630" w:type="dxa"/>
            <w:vMerge w:val="restart"/>
            <w:tcBorders>
              <w:top w:val="nil"/>
              <w:bottom w:val="nil"/>
            </w:tcBorders>
            <w:hideMark/>
          </w:tcPr>
          <w:p w14:paraId="189A64AE" w14:textId="77777777" w:rsidR="00465776" w:rsidRPr="009468B6" w:rsidRDefault="00465776" w:rsidP="00613D10">
            <w:pPr>
              <w:pStyle w:val="Para"/>
              <w:rPr>
                <w:sz w:val="10"/>
                <w:szCs w:val="10"/>
              </w:rPr>
            </w:pPr>
            <w:r w:rsidRPr="009468B6">
              <w:rPr>
                <w:sz w:val="10"/>
                <w:szCs w:val="10"/>
              </w:rPr>
              <w:t>April 2007 – November 2010</w:t>
            </w:r>
          </w:p>
        </w:tc>
        <w:tc>
          <w:tcPr>
            <w:tcW w:w="720" w:type="dxa"/>
            <w:vMerge w:val="restart"/>
            <w:tcBorders>
              <w:top w:val="nil"/>
              <w:bottom w:val="nil"/>
            </w:tcBorders>
            <w:hideMark/>
          </w:tcPr>
          <w:p w14:paraId="76153369" w14:textId="77777777" w:rsidR="00465776" w:rsidRPr="009468B6" w:rsidRDefault="00465776" w:rsidP="00613D10">
            <w:pPr>
              <w:pStyle w:val="Para"/>
              <w:rPr>
                <w:sz w:val="10"/>
                <w:szCs w:val="10"/>
              </w:rPr>
            </w:pPr>
            <w:r w:rsidRPr="009468B6">
              <w:rPr>
                <w:sz w:val="10"/>
                <w:szCs w:val="10"/>
              </w:rPr>
              <w:t>Predicted IVIG-resistant KD</w:t>
            </w:r>
          </w:p>
        </w:tc>
        <w:tc>
          <w:tcPr>
            <w:tcW w:w="720" w:type="dxa"/>
            <w:vMerge w:val="restart"/>
            <w:tcBorders>
              <w:top w:val="nil"/>
              <w:bottom w:val="nil"/>
            </w:tcBorders>
            <w:hideMark/>
          </w:tcPr>
          <w:p w14:paraId="266238EF" w14:textId="77777777" w:rsidR="00465776" w:rsidRPr="009468B6" w:rsidRDefault="00465776" w:rsidP="00613D10">
            <w:pPr>
              <w:pStyle w:val="Para"/>
              <w:rPr>
                <w:sz w:val="10"/>
                <w:szCs w:val="10"/>
              </w:rPr>
            </w:pPr>
            <w:r w:rsidRPr="009468B6">
              <w:rPr>
                <w:sz w:val="10"/>
                <w:szCs w:val="10"/>
              </w:rPr>
              <w:t>No</w:t>
            </w:r>
          </w:p>
        </w:tc>
        <w:tc>
          <w:tcPr>
            <w:tcW w:w="900" w:type="dxa"/>
            <w:vMerge w:val="restart"/>
            <w:tcBorders>
              <w:top w:val="nil"/>
              <w:bottom w:val="nil"/>
            </w:tcBorders>
            <w:hideMark/>
          </w:tcPr>
          <w:p w14:paraId="212EF0FB" w14:textId="77777777" w:rsidR="00465776" w:rsidRPr="009468B6" w:rsidRDefault="00465776" w:rsidP="00613D10">
            <w:pPr>
              <w:pStyle w:val="Para"/>
              <w:rPr>
                <w:sz w:val="10"/>
                <w:szCs w:val="10"/>
              </w:rPr>
            </w:pPr>
            <w:r w:rsidRPr="009468B6">
              <w:rPr>
                <w:sz w:val="10"/>
                <w:szCs w:val="10"/>
              </w:rPr>
              <w:t>Persistent or recrudescent fever (axillary temperature ≥ 37.5 °C) at 36 h after the completion of the initial treatment</w:t>
            </w:r>
          </w:p>
        </w:tc>
        <w:tc>
          <w:tcPr>
            <w:tcW w:w="540" w:type="dxa"/>
            <w:vMerge w:val="restart"/>
            <w:tcBorders>
              <w:top w:val="nil"/>
              <w:bottom w:val="nil"/>
            </w:tcBorders>
            <w:hideMark/>
          </w:tcPr>
          <w:p w14:paraId="20DFA3F4" w14:textId="77777777" w:rsidR="00465776" w:rsidRPr="009468B6" w:rsidRDefault="00465776" w:rsidP="00613D10">
            <w:pPr>
              <w:pStyle w:val="Para"/>
              <w:rPr>
                <w:sz w:val="10"/>
                <w:szCs w:val="10"/>
              </w:rPr>
            </w:pPr>
            <w:r w:rsidRPr="009468B6">
              <w:rPr>
                <w:sz w:val="10"/>
                <w:szCs w:val="10"/>
              </w:rPr>
              <w:t>1</w:t>
            </w:r>
          </w:p>
        </w:tc>
        <w:tc>
          <w:tcPr>
            <w:tcW w:w="1440" w:type="dxa"/>
            <w:vMerge w:val="restart"/>
            <w:tcBorders>
              <w:top w:val="nil"/>
              <w:bottom w:val="nil"/>
            </w:tcBorders>
            <w:hideMark/>
          </w:tcPr>
          <w:p w14:paraId="3EA18827" w14:textId="77777777" w:rsidR="00465776" w:rsidRPr="009468B6" w:rsidRDefault="00465776" w:rsidP="00613D10">
            <w:pPr>
              <w:pStyle w:val="Para"/>
              <w:rPr>
                <w:sz w:val="10"/>
                <w:szCs w:val="10"/>
              </w:rPr>
            </w:pPr>
            <w:r w:rsidRPr="009468B6">
              <w:rPr>
                <w:sz w:val="10"/>
                <w:szCs w:val="10"/>
              </w:rPr>
              <w:t>Japanese patients fulfilling standard diagnostic guidelines for acute KD. Patients had to be predicted as high-risk/refractory using the Egami score. Excluded those with a prior history of KD, baseline coronary artery lesions, or prior steroid treatment.</w:t>
            </w:r>
          </w:p>
        </w:tc>
        <w:tc>
          <w:tcPr>
            <w:tcW w:w="4593" w:type="dxa"/>
            <w:vMerge w:val="restart"/>
            <w:tcBorders>
              <w:top w:val="nil"/>
              <w:bottom w:val="nil"/>
            </w:tcBorders>
            <w:hideMark/>
          </w:tcPr>
          <w:p w14:paraId="55F12911" w14:textId="77777777" w:rsidR="00465776" w:rsidRPr="009468B6" w:rsidRDefault="00465776" w:rsidP="00613D10">
            <w:pPr>
              <w:pStyle w:val="Para"/>
              <w:rPr>
                <w:sz w:val="10"/>
                <w:szCs w:val="10"/>
              </w:rPr>
            </w:pPr>
            <w:r w:rsidRPr="009468B6">
              <w:rPr>
                <w:sz w:val="10"/>
                <w:szCs w:val="10"/>
              </w:rPr>
              <w:t>This prospective randomized trial evaluated the efficacy and safety of adding IV MPT to standard IVIG and aspirin for KD patients predicted to be refractory to initial treatment. The intervention arm demonstrated significantly superior clinical effectiveness, including a higher prompt defervescence rate (86.4% vs. 23.1%), a shorter total duration of fever, and faster normalization of systemic inflammatory markers like CRP compared to the IVIG-alone group. Crucially, the adjunct steroid pulse therapy resulted in significantly smaller coronary artery dimension z-scores at 1 month, indicating stronger protection against coronary lesions. While transient and minor adverse events such as hypothermia and bradycardia were more frequently observed in the steroid group, no serious adverse events occurred. Ultimately, the early combined use of steroid pulse therapy and IVIG provides safe and highly effective primary treatment for high-risk KD populations.</w:t>
            </w:r>
          </w:p>
        </w:tc>
      </w:tr>
      <w:tr w:rsidR="00465776" w:rsidRPr="009468B6" w14:paraId="7CC567FC" w14:textId="77777777" w:rsidTr="00613D10">
        <w:tc>
          <w:tcPr>
            <w:tcW w:w="535" w:type="dxa"/>
            <w:vMerge/>
            <w:tcBorders>
              <w:top w:val="nil"/>
              <w:bottom w:val="nil"/>
            </w:tcBorders>
            <w:hideMark/>
          </w:tcPr>
          <w:p w14:paraId="571C9677" w14:textId="77777777" w:rsidR="00465776" w:rsidRPr="009468B6" w:rsidRDefault="00465776" w:rsidP="00613D10">
            <w:pPr>
              <w:pStyle w:val="Para"/>
              <w:rPr>
                <w:sz w:val="10"/>
                <w:szCs w:val="10"/>
              </w:rPr>
            </w:pPr>
          </w:p>
        </w:tc>
        <w:tc>
          <w:tcPr>
            <w:tcW w:w="720" w:type="dxa"/>
            <w:tcBorders>
              <w:top w:val="nil"/>
              <w:bottom w:val="nil"/>
            </w:tcBorders>
            <w:hideMark/>
          </w:tcPr>
          <w:p w14:paraId="7EC54664" w14:textId="77777777" w:rsidR="00465776" w:rsidRPr="009468B6" w:rsidRDefault="00465776" w:rsidP="00613D10">
            <w:pPr>
              <w:pStyle w:val="Para"/>
              <w:rPr>
                <w:sz w:val="10"/>
                <w:szCs w:val="10"/>
              </w:rPr>
            </w:pPr>
            <w:r w:rsidRPr="009468B6">
              <w:rPr>
                <w:sz w:val="10"/>
                <w:szCs w:val="10"/>
              </w:rPr>
              <w:t>Standard Tx</w:t>
            </w:r>
          </w:p>
        </w:tc>
        <w:tc>
          <w:tcPr>
            <w:tcW w:w="450" w:type="dxa"/>
            <w:tcBorders>
              <w:top w:val="nil"/>
              <w:bottom w:val="nil"/>
            </w:tcBorders>
            <w:hideMark/>
          </w:tcPr>
          <w:p w14:paraId="712A717F" w14:textId="77777777" w:rsidR="00465776" w:rsidRPr="009468B6" w:rsidRDefault="00465776" w:rsidP="00613D10">
            <w:pPr>
              <w:pStyle w:val="Para"/>
              <w:rPr>
                <w:sz w:val="10"/>
                <w:szCs w:val="10"/>
              </w:rPr>
            </w:pPr>
            <w:r w:rsidRPr="009468B6">
              <w:rPr>
                <w:sz w:val="10"/>
                <w:szCs w:val="10"/>
              </w:rPr>
              <w:t>26</w:t>
            </w:r>
          </w:p>
        </w:tc>
        <w:tc>
          <w:tcPr>
            <w:tcW w:w="540" w:type="dxa"/>
            <w:vMerge/>
            <w:tcBorders>
              <w:top w:val="nil"/>
              <w:bottom w:val="nil"/>
            </w:tcBorders>
            <w:hideMark/>
          </w:tcPr>
          <w:p w14:paraId="0451090E" w14:textId="77777777" w:rsidR="00465776" w:rsidRPr="009468B6" w:rsidRDefault="00465776" w:rsidP="00613D10">
            <w:pPr>
              <w:pStyle w:val="Para"/>
              <w:rPr>
                <w:sz w:val="10"/>
                <w:szCs w:val="10"/>
              </w:rPr>
            </w:pPr>
          </w:p>
        </w:tc>
        <w:tc>
          <w:tcPr>
            <w:tcW w:w="540" w:type="dxa"/>
            <w:vMerge/>
            <w:tcBorders>
              <w:top w:val="nil"/>
              <w:bottom w:val="nil"/>
            </w:tcBorders>
            <w:hideMark/>
          </w:tcPr>
          <w:p w14:paraId="33D51190" w14:textId="77777777" w:rsidR="00465776" w:rsidRPr="009468B6" w:rsidRDefault="00465776" w:rsidP="00613D10">
            <w:pPr>
              <w:pStyle w:val="Para"/>
              <w:rPr>
                <w:sz w:val="10"/>
                <w:szCs w:val="10"/>
              </w:rPr>
            </w:pPr>
          </w:p>
        </w:tc>
        <w:tc>
          <w:tcPr>
            <w:tcW w:w="900" w:type="dxa"/>
            <w:vMerge/>
            <w:tcBorders>
              <w:top w:val="nil"/>
              <w:bottom w:val="nil"/>
            </w:tcBorders>
            <w:hideMark/>
          </w:tcPr>
          <w:p w14:paraId="100F92FD" w14:textId="77777777" w:rsidR="00465776" w:rsidRPr="009468B6" w:rsidRDefault="00465776" w:rsidP="00613D10">
            <w:pPr>
              <w:pStyle w:val="Para"/>
              <w:rPr>
                <w:sz w:val="10"/>
                <w:szCs w:val="10"/>
              </w:rPr>
            </w:pPr>
          </w:p>
        </w:tc>
        <w:tc>
          <w:tcPr>
            <w:tcW w:w="630" w:type="dxa"/>
            <w:vMerge/>
            <w:tcBorders>
              <w:top w:val="nil"/>
              <w:bottom w:val="nil"/>
            </w:tcBorders>
            <w:hideMark/>
          </w:tcPr>
          <w:p w14:paraId="4086A6F0" w14:textId="77777777" w:rsidR="00465776" w:rsidRPr="009468B6" w:rsidRDefault="00465776" w:rsidP="00613D10">
            <w:pPr>
              <w:pStyle w:val="Para"/>
              <w:rPr>
                <w:sz w:val="10"/>
                <w:szCs w:val="10"/>
              </w:rPr>
            </w:pPr>
          </w:p>
        </w:tc>
        <w:tc>
          <w:tcPr>
            <w:tcW w:w="720" w:type="dxa"/>
            <w:vMerge/>
            <w:tcBorders>
              <w:top w:val="nil"/>
              <w:bottom w:val="nil"/>
            </w:tcBorders>
            <w:hideMark/>
          </w:tcPr>
          <w:p w14:paraId="08BF136B" w14:textId="77777777" w:rsidR="00465776" w:rsidRPr="009468B6" w:rsidRDefault="00465776" w:rsidP="00613D10">
            <w:pPr>
              <w:pStyle w:val="Para"/>
              <w:rPr>
                <w:sz w:val="10"/>
                <w:szCs w:val="10"/>
              </w:rPr>
            </w:pPr>
          </w:p>
        </w:tc>
        <w:tc>
          <w:tcPr>
            <w:tcW w:w="720" w:type="dxa"/>
            <w:vMerge/>
            <w:tcBorders>
              <w:top w:val="nil"/>
              <w:bottom w:val="nil"/>
            </w:tcBorders>
            <w:hideMark/>
          </w:tcPr>
          <w:p w14:paraId="25589543" w14:textId="77777777" w:rsidR="00465776" w:rsidRPr="009468B6" w:rsidRDefault="00465776" w:rsidP="00613D10">
            <w:pPr>
              <w:pStyle w:val="Para"/>
              <w:rPr>
                <w:sz w:val="10"/>
                <w:szCs w:val="10"/>
              </w:rPr>
            </w:pPr>
          </w:p>
        </w:tc>
        <w:tc>
          <w:tcPr>
            <w:tcW w:w="900" w:type="dxa"/>
            <w:vMerge/>
            <w:tcBorders>
              <w:top w:val="nil"/>
              <w:bottom w:val="nil"/>
            </w:tcBorders>
            <w:hideMark/>
          </w:tcPr>
          <w:p w14:paraId="5262F751" w14:textId="77777777" w:rsidR="00465776" w:rsidRPr="009468B6" w:rsidRDefault="00465776" w:rsidP="00613D10">
            <w:pPr>
              <w:pStyle w:val="Para"/>
              <w:rPr>
                <w:sz w:val="10"/>
                <w:szCs w:val="10"/>
              </w:rPr>
            </w:pPr>
          </w:p>
        </w:tc>
        <w:tc>
          <w:tcPr>
            <w:tcW w:w="540" w:type="dxa"/>
            <w:vMerge/>
            <w:tcBorders>
              <w:top w:val="nil"/>
              <w:bottom w:val="nil"/>
            </w:tcBorders>
            <w:hideMark/>
          </w:tcPr>
          <w:p w14:paraId="39B6BF4F" w14:textId="77777777" w:rsidR="00465776" w:rsidRPr="009468B6" w:rsidRDefault="00465776" w:rsidP="00613D10">
            <w:pPr>
              <w:pStyle w:val="Para"/>
              <w:rPr>
                <w:sz w:val="10"/>
                <w:szCs w:val="10"/>
              </w:rPr>
            </w:pPr>
          </w:p>
        </w:tc>
        <w:tc>
          <w:tcPr>
            <w:tcW w:w="1440" w:type="dxa"/>
            <w:vMerge/>
            <w:tcBorders>
              <w:top w:val="nil"/>
              <w:bottom w:val="nil"/>
            </w:tcBorders>
            <w:hideMark/>
          </w:tcPr>
          <w:p w14:paraId="32D60E38" w14:textId="77777777" w:rsidR="00465776" w:rsidRPr="009468B6" w:rsidRDefault="00465776" w:rsidP="00613D10">
            <w:pPr>
              <w:pStyle w:val="Para"/>
              <w:rPr>
                <w:sz w:val="10"/>
                <w:szCs w:val="10"/>
              </w:rPr>
            </w:pPr>
          </w:p>
        </w:tc>
        <w:tc>
          <w:tcPr>
            <w:tcW w:w="4593" w:type="dxa"/>
            <w:vMerge/>
            <w:tcBorders>
              <w:top w:val="nil"/>
              <w:bottom w:val="nil"/>
            </w:tcBorders>
            <w:hideMark/>
          </w:tcPr>
          <w:p w14:paraId="58EC4FFC" w14:textId="77777777" w:rsidR="00465776" w:rsidRPr="009468B6" w:rsidRDefault="00465776" w:rsidP="00613D10">
            <w:pPr>
              <w:pStyle w:val="Para"/>
              <w:rPr>
                <w:sz w:val="10"/>
                <w:szCs w:val="10"/>
              </w:rPr>
            </w:pPr>
          </w:p>
        </w:tc>
      </w:tr>
      <w:tr w:rsidR="00465776" w:rsidRPr="009468B6" w14:paraId="326B53DA" w14:textId="77777777" w:rsidTr="00613D10">
        <w:tc>
          <w:tcPr>
            <w:tcW w:w="535" w:type="dxa"/>
            <w:vMerge w:val="restart"/>
            <w:tcBorders>
              <w:top w:val="nil"/>
              <w:bottom w:val="nil"/>
            </w:tcBorders>
            <w:hideMark/>
          </w:tcPr>
          <w:p w14:paraId="3C332EE6" w14:textId="77777777" w:rsidR="00465776" w:rsidRPr="009468B6" w:rsidRDefault="00465776" w:rsidP="00613D10">
            <w:pPr>
              <w:pStyle w:val="Para"/>
              <w:rPr>
                <w:sz w:val="10"/>
                <w:szCs w:val="10"/>
              </w:rPr>
            </w:pPr>
            <w:r w:rsidRPr="009468B6">
              <w:rPr>
                <w:sz w:val="10"/>
                <w:szCs w:val="10"/>
              </w:rPr>
              <w:t>Newburger et al, 2007 [16]</w:t>
            </w:r>
          </w:p>
        </w:tc>
        <w:tc>
          <w:tcPr>
            <w:tcW w:w="720" w:type="dxa"/>
            <w:tcBorders>
              <w:top w:val="nil"/>
              <w:bottom w:val="nil"/>
            </w:tcBorders>
            <w:hideMark/>
          </w:tcPr>
          <w:p w14:paraId="129B0D3E" w14:textId="77777777" w:rsidR="00465776" w:rsidRPr="009468B6" w:rsidRDefault="00465776" w:rsidP="00613D10">
            <w:pPr>
              <w:pStyle w:val="Para"/>
              <w:rPr>
                <w:sz w:val="10"/>
                <w:szCs w:val="10"/>
              </w:rPr>
            </w:pPr>
            <w:r w:rsidRPr="009468B6">
              <w:rPr>
                <w:sz w:val="10"/>
                <w:szCs w:val="10"/>
              </w:rPr>
              <w:t>Standard Tx + corticosteroids</w:t>
            </w:r>
          </w:p>
        </w:tc>
        <w:tc>
          <w:tcPr>
            <w:tcW w:w="450" w:type="dxa"/>
            <w:tcBorders>
              <w:top w:val="nil"/>
              <w:bottom w:val="nil"/>
            </w:tcBorders>
            <w:hideMark/>
          </w:tcPr>
          <w:p w14:paraId="6157B546" w14:textId="77777777" w:rsidR="00465776" w:rsidRPr="009468B6" w:rsidRDefault="00465776" w:rsidP="00613D10">
            <w:pPr>
              <w:pStyle w:val="Para"/>
              <w:rPr>
                <w:sz w:val="10"/>
                <w:szCs w:val="10"/>
              </w:rPr>
            </w:pPr>
            <w:r w:rsidRPr="009468B6">
              <w:rPr>
                <w:sz w:val="10"/>
                <w:szCs w:val="10"/>
              </w:rPr>
              <w:t>101</w:t>
            </w:r>
          </w:p>
        </w:tc>
        <w:tc>
          <w:tcPr>
            <w:tcW w:w="540" w:type="dxa"/>
            <w:vMerge w:val="restart"/>
            <w:tcBorders>
              <w:top w:val="nil"/>
              <w:bottom w:val="nil"/>
            </w:tcBorders>
            <w:hideMark/>
          </w:tcPr>
          <w:p w14:paraId="7CD22FA5" w14:textId="77777777" w:rsidR="00465776" w:rsidRPr="009468B6" w:rsidRDefault="00465776" w:rsidP="00613D10">
            <w:pPr>
              <w:pStyle w:val="Para"/>
              <w:rPr>
                <w:sz w:val="10"/>
                <w:szCs w:val="10"/>
              </w:rPr>
            </w:pPr>
            <w:r w:rsidRPr="009468B6">
              <w:rPr>
                <w:sz w:val="10"/>
                <w:szCs w:val="10"/>
              </w:rPr>
              <w:t>North America (USA and Canada)</w:t>
            </w:r>
          </w:p>
        </w:tc>
        <w:tc>
          <w:tcPr>
            <w:tcW w:w="540" w:type="dxa"/>
            <w:vMerge w:val="restart"/>
            <w:tcBorders>
              <w:top w:val="nil"/>
              <w:bottom w:val="nil"/>
            </w:tcBorders>
            <w:hideMark/>
          </w:tcPr>
          <w:p w14:paraId="267AB864" w14:textId="77777777" w:rsidR="00465776" w:rsidRPr="009468B6" w:rsidRDefault="00465776" w:rsidP="00613D10">
            <w:pPr>
              <w:pStyle w:val="Para"/>
              <w:rPr>
                <w:sz w:val="10"/>
                <w:szCs w:val="10"/>
              </w:rPr>
            </w:pPr>
            <w:r w:rsidRPr="009468B6">
              <w:rPr>
                <w:sz w:val="10"/>
                <w:szCs w:val="10"/>
              </w:rPr>
              <w:t>RCT</w:t>
            </w:r>
          </w:p>
        </w:tc>
        <w:tc>
          <w:tcPr>
            <w:tcW w:w="900" w:type="dxa"/>
            <w:vMerge w:val="restart"/>
            <w:tcBorders>
              <w:top w:val="nil"/>
              <w:bottom w:val="nil"/>
            </w:tcBorders>
            <w:hideMark/>
          </w:tcPr>
          <w:p w14:paraId="4D009A16" w14:textId="77777777" w:rsidR="00465776" w:rsidRPr="009468B6" w:rsidRDefault="00465776" w:rsidP="00613D10">
            <w:pPr>
              <w:pStyle w:val="Para"/>
              <w:rPr>
                <w:sz w:val="10"/>
                <w:szCs w:val="10"/>
              </w:rPr>
            </w:pPr>
            <w:r w:rsidRPr="009468B6">
              <w:rPr>
                <w:sz w:val="10"/>
                <w:szCs w:val="10"/>
              </w:rPr>
              <w:t>Pediatric Heart Network (8 centers); NCT00132080</w:t>
            </w:r>
          </w:p>
        </w:tc>
        <w:tc>
          <w:tcPr>
            <w:tcW w:w="630" w:type="dxa"/>
            <w:vMerge w:val="restart"/>
            <w:tcBorders>
              <w:top w:val="nil"/>
              <w:bottom w:val="nil"/>
            </w:tcBorders>
            <w:hideMark/>
          </w:tcPr>
          <w:p w14:paraId="2B241BF4" w14:textId="77777777" w:rsidR="00465776" w:rsidRPr="009468B6" w:rsidRDefault="00465776" w:rsidP="00613D10">
            <w:pPr>
              <w:pStyle w:val="Para"/>
              <w:rPr>
                <w:sz w:val="10"/>
                <w:szCs w:val="10"/>
              </w:rPr>
            </w:pPr>
            <w:r w:rsidRPr="009468B6">
              <w:rPr>
                <w:sz w:val="10"/>
                <w:szCs w:val="10"/>
              </w:rPr>
              <w:t>December 2002 – December 2004</w:t>
            </w:r>
          </w:p>
        </w:tc>
        <w:tc>
          <w:tcPr>
            <w:tcW w:w="720" w:type="dxa"/>
            <w:vMerge w:val="restart"/>
            <w:tcBorders>
              <w:top w:val="nil"/>
              <w:bottom w:val="nil"/>
            </w:tcBorders>
            <w:hideMark/>
          </w:tcPr>
          <w:p w14:paraId="235130F1" w14:textId="77777777" w:rsidR="00465776" w:rsidRPr="009468B6" w:rsidRDefault="00465776" w:rsidP="00613D10">
            <w:pPr>
              <w:pStyle w:val="Para"/>
              <w:rPr>
                <w:sz w:val="10"/>
                <w:szCs w:val="10"/>
              </w:rPr>
            </w:pPr>
            <w:r w:rsidRPr="009468B6">
              <w:rPr>
                <w:sz w:val="10"/>
                <w:szCs w:val="10"/>
              </w:rPr>
              <w:t>General/unselected KD</w:t>
            </w:r>
          </w:p>
        </w:tc>
        <w:tc>
          <w:tcPr>
            <w:tcW w:w="720" w:type="dxa"/>
            <w:vMerge w:val="restart"/>
            <w:tcBorders>
              <w:top w:val="nil"/>
              <w:bottom w:val="nil"/>
            </w:tcBorders>
            <w:hideMark/>
          </w:tcPr>
          <w:p w14:paraId="7CCF4418" w14:textId="77777777" w:rsidR="00465776" w:rsidRPr="009468B6" w:rsidRDefault="00465776" w:rsidP="00613D10">
            <w:pPr>
              <w:pStyle w:val="Para"/>
              <w:rPr>
                <w:sz w:val="10"/>
                <w:szCs w:val="10"/>
              </w:rPr>
            </w:pPr>
            <w:r w:rsidRPr="009468B6">
              <w:rPr>
                <w:sz w:val="10"/>
                <w:szCs w:val="10"/>
              </w:rPr>
              <w:t>Yes (mixed)</w:t>
            </w:r>
          </w:p>
        </w:tc>
        <w:tc>
          <w:tcPr>
            <w:tcW w:w="900" w:type="dxa"/>
            <w:vMerge w:val="restart"/>
            <w:tcBorders>
              <w:top w:val="nil"/>
              <w:bottom w:val="nil"/>
            </w:tcBorders>
            <w:hideMark/>
          </w:tcPr>
          <w:p w14:paraId="367455EA" w14:textId="77777777" w:rsidR="00465776" w:rsidRPr="009468B6" w:rsidRDefault="00465776" w:rsidP="00613D10">
            <w:pPr>
              <w:pStyle w:val="Para"/>
              <w:rPr>
                <w:sz w:val="10"/>
                <w:szCs w:val="10"/>
              </w:rPr>
            </w:pPr>
            <w:r w:rsidRPr="009468B6">
              <w:rPr>
                <w:sz w:val="10"/>
                <w:szCs w:val="10"/>
              </w:rPr>
              <w:t>Temperature of ≥ 38.3 °C occurring 36 h or more after the completion of the initial IVIG infusion</w:t>
            </w:r>
          </w:p>
        </w:tc>
        <w:tc>
          <w:tcPr>
            <w:tcW w:w="540" w:type="dxa"/>
            <w:vMerge w:val="restart"/>
            <w:tcBorders>
              <w:top w:val="nil"/>
              <w:bottom w:val="nil"/>
            </w:tcBorders>
            <w:hideMark/>
          </w:tcPr>
          <w:p w14:paraId="2810BBF7" w14:textId="77777777" w:rsidR="00465776" w:rsidRPr="009468B6" w:rsidRDefault="00465776" w:rsidP="00613D10">
            <w:pPr>
              <w:pStyle w:val="Para"/>
              <w:rPr>
                <w:sz w:val="10"/>
                <w:szCs w:val="10"/>
              </w:rPr>
            </w:pPr>
            <w:r w:rsidRPr="009468B6">
              <w:rPr>
                <w:sz w:val="10"/>
                <w:szCs w:val="10"/>
              </w:rPr>
              <w:t>1.25</w:t>
            </w:r>
          </w:p>
        </w:tc>
        <w:tc>
          <w:tcPr>
            <w:tcW w:w="1440" w:type="dxa"/>
            <w:vMerge w:val="restart"/>
            <w:tcBorders>
              <w:top w:val="nil"/>
              <w:bottom w:val="nil"/>
            </w:tcBorders>
            <w:hideMark/>
          </w:tcPr>
          <w:p w14:paraId="2507B0EC" w14:textId="77777777" w:rsidR="00465776" w:rsidRPr="009468B6" w:rsidRDefault="00465776" w:rsidP="00613D10">
            <w:pPr>
              <w:pStyle w:val="Para"/>
              <w:rPr>
                <w:sz w:val="10"/>
                <w:szCs w:val="10"/>
              </w:rPr>
            </w:pPr>
            <w:r w:rsidRPr="009468B6">
              <w:rPr>
                <w:sz w:val="10"/>
                <w:szCs w:val="10"/>
              </w:rPr>
              <w:t>Patients on days 4 to 10 of illness meeting standard diagnostic criteria for KD or demonstrating baseline coronary abnormalities/aneurysms along with partial clinical criteria. Excluded patients with prior IVIG therapy or recent systemic corticosteroid use.</w:t>
            </w:r>
          </w:p>
        </w:tc>
        <w:tc>
          <w:tcPr>
            <w:tcW w:w="4593" w:type="dxa"/>
            <w:vMerge w:val="restart"/>
            <w:tcBorders>
              <w:top w:val="nil"/>
              <w:bottom w:val="nil"/>
            </w:tcBorders>
            <w:hideMark/>
          </w:tcPr>
          <w:p w14:paraId="331B1E6F" w14:textId="77777777" w:rsidR="00465776" w:rsidRPr="009468B6" w:rsidRDefault="00465776" w:rsidP="00613D10">
            <w:pPr>
              <w:pStyle w:val="Para"/>
              <w:rPr>
                <w:sz w:val="10"/>
                <w:szCs w:val="10"/>
              </w:rPr>
            </w:pPr>
            <w:r w:rsidRPr="009468B6">
              <w:rPr>
                <w:sz w:val="10"/>
                <w:szCs w:val="10"/>
              </w:rPr>
              <w:t xml:space="preserve">This double-blind RCT investigated whether adding a single pulsed dose of IV methylprednisolone to standard IVIG and aspirin therapy improved outcomes in unselected children with KD. The addition of the corticosteroid pulse did not significantly decrease the prevalence or severity of CAA at 1 or 5 weeks post-randomization. While the intervention group experienced a marginally shorter initial hospitalization and faster early reductions in inflammatory markers such as ESR and CRP, the overall total duration of fever, length of hospital stay, and requirement for IVIG retreatment were similar between the two groups. Adverse events occurred at comparable rates, with no serious events directly attributed to the study drug. Thus, routine primary use of pulsed methylprednisolone is not recommended for general KD populations; however, </w:t>
            </w:r>
            <w:r w:rsidRPr="009468B6">
              <w:rPr>
                <w:i/>
                <w:iCs/>
                <w:sz w:val="10"/>
                <w:szCs w:val="10"/>
              </w:rPr>
              <w:t>post hoc</w:t>
            </w:r>
            <w:r w:rsidRPr="009468B6">
              <w:rPr>
                <w:sz w:val="10"/>
                <w:szCs w:val="10"/>
              </w:rPr>
              <w:t xml:space="preserve"> analysis suggested a potential coronary benefit among patients who ultimately proved resistant to initial IVIG therapy.</w:t>
            </w:r>
          </w:p>
        </w:tc>
      </w:tr>
      <w:tr w:rsidR="00465776" w:rsidRPr="009468B6" w14:paraId="7F5249C6" w14:textId="77777777" w:rsidTr="00613D10">
        <w:tc>
          <w:tcPr>
            <w:tcW w:w="535" w:type="dxa"/>
            <w:vMerge/>
            <w:tcBorders>
              <w:top w:val="nil"/>
              <w:bottom w:val="nil"/>
            </w:tcBorders>
            <w:hideMark/>
          </w:tcPr>
          <w:p w14:paraId="5A7CAFA1" w14:textId="77777777" w:rsidR="00465776" w:rsidRPr="009468B6" w:rsidRDefault="00465776" w:rsidP="00613D10">
            <w:pPr>
              <w:pStyle w:val="Para"/>
              <w:rPr>
                <w:sz w:val="10"/>
                <w:szCs w:val="10"/>
              </w:rPr>
            </w:pPr>
          </w:p>
        </w:tc>
        <w:tc>
          <w:tcPr>
            <w:tcW w:w="720" w:type="dxa"/>
            <w:tcBorders>
              <w:top w:val="nil"/>
              <w:bottom w:val="nil"/>
            </w:tcBorders>
            <w:hideMark/>
          </w:tcPr>
          <w:p w14:paraId="7C6AA0BB" w14:textId="77777777" w:rsidR="00465776" w:rsidRPr="009468B6" w:rsidRDefault="00465776" w:rsidP="00613D10">
            <w:pPr>
              <w:pStyle w:val="Para"/>
              <w:rPr>
                <w:sz w:val="10"/>
                <w:szCs w:val="10"/>
              </w:rPr>
            </w:pPr>
            <w:r w:rsidRPr="009468B6">
              <w:rPr>
                <w:sz w:val="10"/>
                <w:szCs w:val="10"/>
              </w:rPr>
              <w:t>Standard Tx</w:t>
            </w:r>
          </w:p>
        </w:tc>
        <w:tc>
          <w:tcPr>
            <w:tcW w:w="450" w:type="dxa"/>
            <w:tcBorders>
              <w:top w:val="nil"/>
              <w:bottom w:val="nil"/>
            </w:tcBorders>
            <w:hideMark/>
          </w:tcPr>
          <w:p w14:paraId="21A51FB2" w14:textId="77777777" w:rsidR="00465776" w:rsidRPr="009468B6" w:rsidRDefault="00465776" w:rsidP="00613D10">
            <w:pPr>
              <w:pStyle w:val="Para"/>
              <w:rPr>
                <w:sz w:val="10"/>
                <w:szCs w:val="10"/>
              </w:rPr>
            </w:pPr>
            <w:r w:rsidRPr="009468B6">
              <w:rPr>
                <w:sz w:val="10"/>
                <w:szCs w:val="10"/>
              </w:rPr>
              <w:t>98</w:t>
            </w:r>
          </w:p>
        </w:tc>
        <w:tc>
          <w:tcPr>
            <w:tcW w:w="540" w:type="dxa"/>
            <w:vMerge/>
            <w:tcBorders>
              <w:top w:val="nil"/>
              <w:bottom w:val="nil"/>
            </w:tcBorders>
            <w:hideMark/>
          </w:tcPr>
          <w:p w14:paraId="56BDA995" w14:textId="77777777" w:rsidR="00465776" w:rsidRPr="009468B6" w:rsidRDefault="00465776" w:rsidP="00613D10">
            <w:pPr>
              <w:pStyle w:val="Para"/>
              <w:rPr>
                <w:sz w:val="10"/>
                <w:szCs w:val="10"/>
              </w:rPr>
            </w:pPr>
          </w:p>
        </w:tc>
        <w:tc>
          <w:tcPr>
            <w:tcW w:w="540" w:type="dxa"/>
            <w:vMerge/>
            <w:tcBorders>
              <w:top w:val="nil"/>
              <w:bottom w:val="nil"/>
            </w:tcBorders>
            <w:hideMark/>
          </w:tcPr>
          <w:p w14:paraId="451FA2A1" w14:textId="77777777" w:rsidR="00465776" w:rsidRPr="009468B6" w:rsidRDefault="00465776" w:rsidP="00613D10">
            <w:pPr>
              <w:pStyle w:val="Para"/>
              <w:rPr>
                <w:sz w:val="10"/>
                <w:szCs w:val="10"/>
              </w:rPr>
            </w:pPr>
          </w:p>
        </w:tc>
        <w:tc>
          <w:tcPr>
            <w:tcW w:w="900" w:type="dxa"/>
            <w:vMerge/>
            <w:tcBorders>
              <w:top w:val="nil"/>
              <w:bottom w:val="nil"/>
            </w:tcBorders>
            <w:hideMark/>
          </w:tcPr>
          <w:p w14:paraId="69AECABC" w14:textId="77777777" w:rsidR="00465776" w:rsidRPr="009468B6" w:rsidRDefault="00465776" w:rsidP="00613D10">
            <w:pPr>
              <w:pStyle w:val="Para"/>
              <w:rPr>
                <w:sz w:val="10"/>
                <w:szCs w:val="10"/>
              </w:rPr>
            </w:pPr>
          </w:p>
        </w:tc>
        <w:tc>
          <w:tcPr>
            <w:tcW w:w="630" w:type="dxa"/>
            <w:vMerge/>
            <w:tcBorders>
              <w:top w:val="nil"/>
              <w:bottom w:val="nil"/>
            </w:tcBorders>
            <w:hideMark/>
          </w:tcPr>
          <w:p w14:paraId="71A47CBD" w14:textId="77777777" w:rsidR="00465776" w:rsidRPr="009468B6" w:rsidRDefault="00465776" w:rsidP="00613D10">
            <w:pPr>
              <w:pStyle w:val="Para"/>
              <w:rPr>
                <w:sz w:val="10"/>
                <w:szCs w:val="10"/>
              </w:rPr>
            </w:pPr>
          </w:p>
        </w:tc>
        <w:tc>
          <w:tcPr>
            <w:tcW w:w="720" w:type="dxa"/>
            <w:vMerge/>
            <w:tcBorders>
              <w:top w:val="nil"/>
              <w:bottom w:val="nil"/>
            </w:tcBorders>
            <w:hideMark/>
          </w:tcPr>
          <w:p w14:paraId="4E5254D2" w14:textId="77777777" w:rsidR="00465776" w:rsidRPr="009468B6" w:rsidRDefault="00465776" w:rsidP="00613D10">
            <w:pPr>
              <w:pStyle w:val="Para"/>
              <w:rPr>
                <w:sz w:val="10"/>
                <w:szCs w:val="10"/>
              </w:rPr>
            </w:pPr>
          </w:p>
        </w:tc>
        <w:tc>
          <w:tcPr>
            <w:tcW w:w="720" w:type="dxa"/>
            <w:vMerge/>
            <w:tcBorders>
              <w:top w:val="nil"/>
              <w:bottom w:val="nil"/>
            </w:tcBorders>
            <w:hideMark/>
          </w:tcPr>
          <w:p w14:paraId="478CE75D" w14:textId="77777777" w:rsidR="00465776" w:rsidRPr="009468B6" w:rsidRDefault="00465776" w:rsidP="00613D10">
            <w:pPr>
              <w:pStyle w:val="Para"/>
              <w:rPr>
                <w:sz w:val="10"/>
                <w:szCs w:val="10"/>
              </w:rPr>
            </w:pPr>
          </w:p>
        </w:tc>
        <w:tc>
          <w:tcPr>
            <w:tcW w:w="900" w:type="dxa"/>
            <w:vMerge/>
            <w:tcBorders>
              <w:top w:val="nil"/>
              <w:bottom w:val="nil"/>
            </w:tcBorders>
            <w:hideMark/>
          </w:tcPr>
          <w:p w14:paraId="0394A3EB" w14:textId="77777777" w:rsidR="00465776" w:rsidRPr="009468B6" w:rsidRDefault="00465776" w:rsidP="00613D10">
            <w:pPr>
              <w:pStyle w:val="Para"/>
              <w:rPr>
                <w:sz w:val="10"/>
                <w:szCs w:val="10"/>
              </w:rPr>
            </w:pPr>
          </w:p>
        </w:tc>
        <w:tc>
          <w:tcPr>
            <w:tcW w:w="540" w:type="dxa"/>
            <w:vMerge/>
            <w:tcBorders>
              <w:top w:val="nil"/>
              <w:bottom w:val="nil"/>
            </w:tcBorders>
            <w:hideMark/>
          </w:tcPr>
          <w:p w14:paraId="78612CA2" w14:textId="77777777" w:rsidR="00465776" w:rsidRPr="009468B6" w:rsidRDefault="00465776" w:rsidP="00613D10">
            <w:pPr>
              <w:pStyle w:val="Para"/>
              <w:rPr>
                <w:sz w:val="10"/>
                <w:szCs w:val="10"/>
              </w:rPr>
            </w:pPr>
          </w:p>
        </w:tc>
        <w:tc>
          <w:tcPr>
            <w:tcW w:w="1440" w:type="dxa"/>
            <w:vMerge/>
            <w:tcBorders>
              <w:top w:val="nil"/>
              <w:bottom w:val="nil"/>
            </w:tcBorders>
            <w:hideMark/>
          </w:tcPr>
          <w:p w14:paraId="42FA40E2" w14:textId="77777777" w:rsidR="00465776" w:rsidRPr="009468B6" w:rsidRDefault="00465776" w:rsidP="00613D10">
            <w:pPr>
              <w:pStyle w:val="Para"/>
              <w:rPr>
                <w:sz w:val="10"/>
                <w:szCs w:val="10"/>
              </w:rPr>
            </w:pPr>
          </w:p>
        </w:tc>
        <w:tc>
          <w:tcPr>
            <w:tcW w:w="4593" w:type="dxa"/>
            <w:vMerge/>
            <w:tcBorders>
              <w:top w:val="nil"/>
              <w:bottom w:val="nil"/>
            </w:tcBorders>
            <w:hideMark/>
          </w:tcPr>
          <w:p w14:paraId="1597E5A9" w14:textId="77777777" w:rsidR="00465776" w:rsidRPr="009468B6" w:rsidRDefault="00465776" w:rsidP="00613D10">
            <w:pPr>
              <w:pStyle w:val="Para"/>
              <w:rPr>
                <w:sz w:val="10"/>
                <w:szCs w:val="10"/>
              </w:rPr>
            </w:pPr>
          </w:p>
        </w:tc>
      </w:tr>
      <w:tr w:rsidR="00465776" w:rsidRPr="009468B6" w14:paraId="2843C36A" w14:textId="77777777" w:rsidTr="00613D10">
        <w:tc>
          <w:tcPr>
            <w:tcW w:w="535" w:type="dxa"/>
            <w:vMerge w:val="restart"/>
            <w:tcBorders>
              <w:top w:val="nil"/>
              <w:bottom w:val="nil"/>
            </w:tcBorders>
            <w:hideMark/>
          </w:tcPr>
          <w:p w14:paraId="12E538C7" w14:textId="77777777" w:rsidR="00465776" w:rsidRPr="009468B6" w:rsidRDefault="00465776" w:rsidP="00613D10">
            <w:pPr>
              <w:pStyle w:val="Para"/>
              <w:rPr>
                <w:sz w:val="10"/>
                <w:szCs w:val="10"/>
              </w:rPr>
            </w:pPr>
            <w:r w:rsidRPr="009468B6">
              <w:rPr>
                <w:sz w:val="10"/>
                <w:szCs w:val="10"/>
              </w:rPr>
              <w:t>Inoue et al, 2006 [12]</w:t>
            </w:r>
          </w:p>
        </w:tc>
        <w:tc>
          <w:tcPr>
            <w:tcW w:w="720" w:type="dxa"/>
            <w:tcBorders>
              <w:top w:val="nil"/>
              <w:bottom w:val="nil"/>
            </w:tcBorders>
            <w:hideMark/>
          </w:tcPr>
          <w:p w14:paraId="7EBFE9E7" w14:textId="77777777" w:rsidR="00465776" w:rsidRPr="009468B6" w:rsidRDefault="00465776" w:rsidP="00613D10">
            <w:pPr>
              <w:pStyle w:val="Para"/>
              <w:rPr>
                <w:sz w:val="10"/>
                <w:szCs w:val="10"/>
              </w:rPr>
            </w:pPr>
            <w:r w:rsidRPr="009468B6">
              <w:rPr>
                <w:sz w:val="10"/>
                <w:szCs w:val="10"/>
              </w:rPr>
              <w:t>Standard Tx + corticosteroids</w:t>
            </w:r>
          </w:p>
        </w:tc>
        <w:tc>
          <w:tcPr>
            <w:tcW w:w="450" w:type="dxa"/>
            <w:tcBorders>
              <w:top w:val="nil"/>
              <w:bottom w:val="nil"/>
            </w:tcBorders>
            <w:hideMark/>
          </w:tcPr>
          <w:p w14:paraId="237D4B4A" w14:textId="77777777" w:rsidR="00465776" w:rsidRPr="009468B6" w:rsidRDefault="00465776" w:rsidP="00613D10">
            <w:pPr>
              <w:pStyle w:val="Para"/>
              <w:rPr>
                <w:sz w:val="10"/>
                <w:szCs w:val="10"/>
              </w:rPr>
            </w:pPr>
            <w:r w:rsidRPr="009468B6">
              <w:rPr>
                <w:sz w:val="10"/>
                <w:szCs w:val="10"/>
              </w:rPr>
              <w:t>90</w:t>
            </w:r>
          </w:p>
        </w:tc>
        <w:tc>
          <w:tcPr>
            <w:tcW w:w="540" w:type="dxa"/>
            <w:vMerge w:val="restart"/>
            <w:tcBorders>
              <w:top w:val="nil"/>
              <w:bottom w:val="nil"/>
            </w:tcBorders>
            <w:hideMark/>
          </w:tcPr>
          <w:p w14:paraId="18BE1FD7" w14:textId="77777777" w:rsidR="00465776" w:rsidRPr="009468B6" w:rsidRDefault="00465776" w:rsidP="00613D10">
            <w:pPr>
              <w:pStyle w:val="Para"/>
              <w:rPr>
                <w:sz w:val="10"/>
                <w:szCs w:val="10"/>
              </w:rPr>
            </w:pPr>
            <w:r w:rsidRPr="009468B6">
              <w:rPr>
                <w:sz w:val="10"/>
                <w:szCs w:val="10"/>
              </w:rPr>
              <w:t>Japan</w:t>
            </w:r>
          </w:p>
        </w:tc>
        <w:tc>
          <w:tcPr>
            <w:tcW w:w="540" w:type="dxa"/>
            <w:vMerge w:val="restart"/>
            <w:tcBorders>
              <w:top w:val="nil"/>
              <w:bottom w:val="nil"/>
            </w:tcBorders>
            <w:hideMark/>
          </w:tcPr>
          <w:p w14:paraId="50D8394C" w14:textId="77777777" w:rsidR="00465776" w:rsidRPr="009468B6" w:rsidRDefault="00465776" w:rsidP="00613D10">
            <w:pPr>
              <w:pStyle w:val="Para"/>
              <w:rPr>
                <w:sz w:val="10"/>
                <w:szCs w:val="10"/>
              </w:rPr>
            </w:pPr>
            <w:r w:rsidRPr="009468B6">
              <w:rPr>
                <w:sz w:val="10"/>
                <w:szCs w:val="10"/>
              </w:rPr>
              <w:t>RCT</w:t>
            </w:r>
          </w:p>
        </w:tc>
        <w:tc>
          <w:tcPr>
            <w:tcW w:w="900" w:type="dxa"/>
            <w:vMerge w:val="restart"/>
            <w:tcBorders>
              <w:top w:val="nil"/>
              <w:bottom w:val="nil"/>
            </w:tcBorders>
            <w:hideMark/>
          </w:tcPr>
          <w:p w14:paraId="121AE94F" w14:textId="77777777" w:rsidR="00465776" w:rsidRPr="009468B6" w:rsidRDefault="00465776" w:rsidP="00613D10">
            <w:pPr>
              <w:pStyle w:val="Para"/>
              <w:rPr>
                <w:sz w:val="10"/>
                <w:szCs w:val="10"/>
              </w:rPr>
            </w:pPr>
            <w:r w:rsidRPr="009468B6">
              <w:rPr>
                <w:sz w:val="10"/>
                <w:szCs w:val="10"/>
              </w:rPr>
              <w:t>Gunma Kawasaki Disease Study Group (12 medical institutions)</w:t>
            </w:r>
          </w:p>
        </w:tc>
        <w:tc>
          <w:tcPr>
            <w:tcW w:w="630" w:type="dxa"/>
            <w:vMerge w:val="restart"/>
            <w:tcBorders>
              <w:top w:val="nil"/>
              <w:bottom w:val="nil"/>
            </w:tcBorders>
            <w:hideMark/>
          </w:tcPr>
          <w:p w14:paraId="2D75473A" w14:textId="77777777" w:rsidR="00465776" w:rsidRPr="009468B6" w:rsidRDefault="00465776" w:rsidP="00613D10">
            <w:pPr>
              <w:pStyle w:val="Para"/>
              <w:rPr>
                <w:sz w:val="10"/>
                <w:szCs w:val="10"/>
              </w:rPr>
            </w:pPr>
            <w:r w:rsidRPr="009468B6">
              <w:rPr>
                <w:sz w:val="10"/>
                <w:szCs w:val="10"/>
              </w:rPr>
              <w:t>September 2000 – March 2005</w:t>
            </w:r>
          </w:p>
        </w:tc>
        <w:tc>
          <w:tcPr>
            <w:tcW w:w="720" w:type="dxa"/>
            <w:vMerge w:val="restart"/>
            <w:tcBorders>
              <w:top w:val="nil"/>
              <w:bottom w:val="nil"/>
            </w:tcBorders>
            <w:hideMark/>
          </w:tcPr>
          <w:p w14:paraId="073A5982" w14:textId="77777777" w:rsidR="00465776" w:rsidRPr="009468B6" w:rsidRDefault="00465776" w:rsidP="00613D10">
            <w:pPr>
              <w:pStyle w:val="Para"/>
              <w:rPr>
                <w:sz w:val="10"/>
                <w:szCs w:val="10"/>
              </w:rPr>
            </w:pPr>
            <w:r w:rsidRPr="009468B6">
              <w:rPr>
                <w:sz w:val="10"/>
                <w:szCs w:val="10"/>
              </w:rPr>
              <w:t>General acute KD</w:t>
            </w:r>
          </w:p>
        </w:tc>
        <w:tc>
          <w:tcPr>
            <w:tcW w:w="720" w:type="dxa"/>
            <w:vMerge w:val="restart"/>
            <w:tcBorders>
              <w:top w:val="nil"/>
              <w:bottom w:val="nil"/>
            </w:tcBorders>
            <w:hideMark/>
          </w:tcPr>
          <w:p w14:paraId="6488971B" w14:textId="77777777" w:rsidR="00465776" w:rsidRPr="009468B6" w:rsidRDefault="00465776" w:rsidP="00613D10">
            <w:pPr>
              <w:pStyle w:val="Para"/>
              <w:rPr>
                <w:sz w:val="10"/>
                <w:szCs w:val="10"/>
              </w:rPr>
            </w:pPr>
            <w:r w:rsidRPr="009468B6">
              <w:rPr>
                <w:sz w:val="10"/>
                <w:szCs w:val="10"/>
              </w:rPr>
              <w:t>No</w:t>
            </w:r>
          </w:p>
        </w:tc>
        <w:tc>
          <w:tcPr>
            <w:tcW w:w="900" w:type="dxa"/>
            <w:vMerge w:val="restart"/>
            <w:tcBorders>
              <w:top w:val="nil"/>
              <w:bottom w:val="nil"/>
            </w:tcBorders>
            <w:hideMark/>
          </w:tcPr>
          <w:p w14:paraId="6719E091" w14:textId="77777777" w:rsidR="00465776" w:rsidRPr="009468B6" w:rsidRDefault="00465776" w:rsidP="00613D10">
            <w:pPr>
              <w:pStyle w:val="Para"/>
              <w:rPr>
                <w:sz w:val="10"/>
                <w:szCs w:val="10"/>
              </w:rPr>
            </w:pPr>
            <w:r w:rsidRPr="009468B6">
              <w:rPr>
                <w:sz w:val="10"/>
                <w:szCs w:val="10"/>
              </w:rPr>
              <w:t>Persistent fever lasting more than 24 h after completion of the 2 IVIG infusions, or recrudescent fever associated with KD symptoms after an afebrile period</w:t>
            </w:r>
          </w:p>
        </w:tc>
        <w:tc>
          <w:tcPr>
            <w:tcW w:w="540" w:type="dxa"/>
            <w:vMerge w:val="restart"/>
            <w:tcBorders>
              <w:top w:val="nil"/>
              <w:bottom w:val="nil"/>
            </w:tcBorders>
            <w:hideMark/>
          </w:tcPr>
          <w:p w14:paraId="66C8FAE2" w14:textId="77777777" w:rsidR="00465776" w:rsidRPr="009468B6" w:rsidRDefault="00465776" w:rsidP="00613D10">
            <w:pPr>
              <w:pStyle w:val="Para"/>
              <w:rPr>
                <w:sz w:val="10"/>
                <w:szCs w:val="10"/>
              </w:rPr>
            </w:pPr>
            <w:r w:rsidRPr="009468B6">
              <w:rPr>
                <w:sz w:val="10"/>
                <w:szCs w:val="10"/>
              </w:rPr>
              <w:t>50</w:t>
            </w:r>
          </w:p>
        </w:tc>
        <w:tc>
          <w:tcPr>
            <w:tcW w:w="1440" w:type="dxa"/>
            <w:vMerge w:val="restart"/>
            <w:tcBorders>
              <w:top w:val="nil"/>
              <w:bottom w:val="nil"/>
            </w:tcBorders>
            <w:hideMark/>
          </w:tcPr>
          <w:p w14:paraId="474D92A2" w14:textId="77777777" w:rsidR="00465776" w:rsidRPr="009468B6" w:rsidRDefault="00465776" w:rsidP="00613D10">
            <w:pPr>
              <w:pStyle w:val="Para"/>
              <w:rPr>
                <w:sz w:val="10"/>
                <w:szCs w:val="10"/>
              </w:rPr>
            </w:pPr>
            <w:r w:rsidRPr="009468B6">
              <w:rPr>
                <w:sz w:val="10"/>
                <w:szCs w:val="10"/>
              </w:rPr>
              <w:t>Patients fulfilling clinical diagnostic criteria for KD (at least 5 standard symptoms including fever). Excluded patients with a prior history of KD, baseline CAA, or initial consultation after 9 days from illness onset</w:t>
            </w:r>
          </w:p>
        </w:tc>
        <w:tc>
          <w:tcPr>
            <w:tcW w:w="4593" w:type="dxa"/>
            <w:vMerge w:val="restart"/>
            <w:tcBorders>
              <w:top w:val="nil"/>
              <w:bottom w:val="nil"/>
            </w:tcBorders>
            <w:hideMark/>
          </w:tcPr>
          <w:p w14:paraId="05FF253A" w14:textId="77777777" w:rsidR="00465776" w:rsidRPr="009468B6" w:rsidRDefault="00465776" w:rsidP="00613D10">
            <w:pPr>
              <w:pStyle w:val="Para"/>
              <w:rPr>
                <w:sz w:val="10"/>
                <w:szCs w:val="10"/>
              </w:rPr>
            </w:pPr>
            <w:r w:rsidRPr="009468B6">
              <w:rPr>
                <w:sz w:val="10"/>
                <w:szCs w:val="10"/>
              </w:rPr>
              <w:t>This multicenter, randomized trial evaluated the addition of corticosteroids to primary IVIG therapy in unselected children with acute KD. The combined IVIG and prednisolone regimen demonstrated significant clinical superiority, substantially reducing the incidence of CAA within 1 month (2.2% vs. 11.4%) compared to standard IVIG therapy. Furthermore, the intervention cohort experienced significantly faster fever resolution, quicker normalization of CRP levels, and lower rates of initial treatment failure. Both treatments were well tolerated, with no major side effects directly attributed to corticosteroid use; however, minor isolated events such as transient inability to stand and gastroenteritis were observed. Ultimately, these findings strongly support the early use of combined corticosteroid and IVIG therapy to improve coronary outcomes and accelerate clinical recovery in general KD populations.</w:t>
            </w:r>
          </w:p>
        </w:tc>
      </w:tr>
      <w:tr w:rsidR="00465776" w:rsidRPr="009468B6" w14:paraId="0389FE60" w14:textId="77777777" w:rsidTr="00613D10">
        <w:tc>
          <w:tcPr>
            <w:tcW w:w="535" w:type="dxa"/>
            <w:vMerge/>
            <w:tcBorders>
              <w:top w:val="nil"/>
              <w:bottom w:val="nil"/>
            </w:tcBorders>
            <w:hideMark/>
          </w:tcPr>
          <w:p w14:paraId="4AAC8CD4" w14:textId="77777777" w:rsidR="00465776" w:rsidRPr="009468B6" w:rsidRDefault="00465776" w:rsidP="00613D10">
            <w:pPr>
              <w:pStyle w:val="Para"/>
              <w:rPr>
                <w:sz w:val="10"/>
                <w:szCs w:val="10"/>
              </w:rPr>
            </w:pPr>
          </w:p>
        </w:tc>
        <w:tc>
          <w:tcPr>
            <w:tcW w:w="720" w:type="dxa"/>
            <w:tcBorders>
              <w:top w:val="nil"/>
              <w:bottom w:val="nil"/>
            </w:tcBorders>
            <w:hideMark/>
          </w:tcPr>
          <w:p w14:paraId="58A37A41" w14:textId="77777777" w:rsidR="00465776" w:rsidRPr="009468B6" w:rsidRDefault="00465776" w:rsidP="00613D10">
            <w:pPr>
              <w:pStyle w:val="Para"/>
              <w:rPr>
                <w:sz w:val="10"/>
                <w:szCs w:val="10"/>
              </w:rPr>
            </w:pPr>
            <w:r w:rsidRPr="009468B6">
              <w:rPr>
                <w:sz w:val="10"/>
                <w:szCs w:val="10"/>
              </w:rPr>
              <w:t>Standard Tx</w:t>
            </w:r>
          </w:p>
        </w:tc>
        <w:tc>
          <w:tcPr>
            <w:tcW w:w="450" w:type="dxa"/>
            <w:tcBorders>
              <w:top w:val="nil"/>
              <w:bottom w:val="nil"/>
            </w:tcBorders>
            <w:hideMark/>
          </w:tcPr>
          <w:p w14:paraId="1295F645" w14:textId="77777777" w:rsidR="00465776" w:rsidRPr="009468B6" w:rsidRDefault="00465776" w:rsidP="00613D10">
            <w:pPr>
              <w:pStyle w:val="Para"/>
              <w:rPr>
                <w:sz w:val="10"/>
                <w:szCs w:val="10"/>
              </w:rPr>
            </w:pPr>
            <w:r w:rsidRPr="009468B6">
              <w:rPr>
                <w:sz w:val="10"/>
                <w:szCs w:val="10"/>
              </w:rPr>
              <w:t>88</w:t>
            </w:r>
          </w:p>
        </w:tc>
        <w:tc>
          <w:tcPr>
            <w:tcW w:w="540" w:type="dxa"/>
            <w:vMerge/>
            <w:tcBorders>
              <w:top w:val="nil"/>
              <w:bottom w:val="nil"/>
            </w:tcBorders>
            <w:hideMark/>
          </w:tcPr>
          <w:p w14:paraId="1E1562B3" w14:textId="77777777" w:rsidR="00465776" w:rsidRPr="009468B6" w:rsidRDefault="00465776" w:rsidP="00613D10">
            <w:pPr>
              <w:pStyle w:val="Para"/>
              <w:rPr>
                <w:sz w:val="10"/>
                <w:szCs w:val="10"/>
              </w:rPr>
            </w:pPr>
          </w:p>
        </w:tc>
        <w:tc>
          <w:tcPr>
            <w:tcW w:w="540" w:type="dxa"/>
            <w:vMerge/>
            <w:tcBorders>
              <w:top w:val="nil"/>
              <w:bottom w:val="nil"/>
            </w:tcBorders>
            <w:hideMark/>
          </w:tcPr>
          <w:p w14:paraId="35783842" w14:textId="77777777" w:rsidR="00465776" w:rsidRPr="009468B6" w:rsidRDefault="00465776" w:rsidP="00613D10">
            <w:pPr>
              <w:pStyle w:val="Para"/>
              <w:rPr>
                <w:sz w:val="10"/>
                <w:szCs w:val="10"/>
              </w:rPr>
            </w:pPr>
          </w:p>
        </w:tc>
        <w:tc>
          <w:tcPr>
            <w:tcW w:w="900" w:type="dxa"/>
            <w:vMerge/>
            <w:tcBorders>
              <w:top w:val="nil"/>
              <w:bottom w:val="nil"/>
            </w:tcBorders>
            <w:hideMark/>
          </w:tcPr>
          <w:p w14:paraId="6012FD8A" w14:textId="77777777" w:rsidR="00465776" w:rsidRPr="009468B6" w:rsidRDefault="00465776" w:rsidP="00613D10">
            <w:pPr>
              <w:pStyle w:val="Para"/>
              <w:rPr>
                <w:sz w:val="10"/>
                <w:szCs w:val="10"/>
              </w:rPr>
            </w:pPr>
          </w:p>
        </w:tc>
        <w:tc>
          <w:tcPr>
            <w:tcW w:w="630" w:type="dxa"/>
            <w:vMerge/>
            <w:tcBorders>
              <w:top w:val="nil"/>
              <w:bottom w:val="nil"/>
            </w:tcBorders>
            <w:hideMark/>
          </w:tcPr>
          <w:p w14:paraId="53956E80" w14:textId="77777777" w:rsidR="00465776" w:rsidRPr="009468B6" w:rsidRDefault="00465776" w:rsidP="00613D10">
            <w:pPr>
              <w:pStyle w:val="Para"/>
              <w:rPr>
                <w:sz w:val="10"/>
                <w:szCs w:val="10"/>
              </w:rPr>
            </w:pPr>
          </w:p>
        </w:tc>
        <w:tc>
          <w:tcPr>
            <w:tcW w:w="720" w:type="dxa"/>
            <w:vMerge/>
            <w:tcBorders>
              <w:top w:val="nil"/>
              <w:bottom w:val="nil"/>
            </w:tcBorders>
            <w:hideMark/>
          </w:tcPr>
          <w:p w14:paraId="26BCF666" w14:textId="77777777" w:rsidR="00465776" w:rsidRPr="009468B6" w:rsidRDefault="00465776" w:rsidP="00613D10">
            <w:pPr>
              <w:pStyle w:val="Para"/>
              <w:rPr>
                <w:sz w:val="10"/>
                <w:szCs w:val="10"/>
              </w:rPr>
            </w:pPr>
          </w:p>
        </w:tc>
        <w:tc>
          <w:tcPr>
            <w:tcW w:w="720" w:type="dxa"/>
            <w:vMerge/>
            <w:tcBorders>
              <w:top w:val="nil"/>
              <w:bottom w:val="nil"/>
            </w:tcBorders>
            <w:hideMark/>
          </w:tcPr>
          <w:p w14:paraId="3A456EFD" w14:textId="77777777" w:rsidR="00465776" w:rsidRPr="009468B6" w:rsidRDefault="00465776" w:rsidP="00613D10">
            <w:pPr>
              <w:pStyle w:val="Para"/>
              <w:rPr>
                <w:sz w:val="10"/>
                <w:szCs w:val="10"/>
              </w:rPr>
            </w:pPr>
          </w:p>
        </w:tc>
        <w:tc>
          <w:tcPr>
            <w:tcW w:w="900" w:type="dxa"/>
            <w:vMerge/>
            <w:tcBorders>
              <w:top w:val="nil"/>
              <w:bottom w:val="nil"/>
            </w:tcBorders>
            <w:hideMark/>
          </w:tcPr>
          <w:p w14:paraId="14BFA1C6" w14:textId="77777777" w:rsidR="00465776" w:rsidRPr="009468B6" w:rsidRDefault="00465776" w:rsidP="00613D10">
            <w:pPr>
              <w:pStyle w:val="Para"/>
              <w:rPr>
                <w:sz w:val="10"/>
                <w:szCs w:val="10"/>
              </w:rPr>
            </w:pPr>
          </w:p>
        </w:tc>
        <w:tc>
          <w:tcPr>
            <w:tcW w:w="540" w:type="dxa"/>
            <w:vMerge/>
            <w:tcBorders>
              <w:top w:val="nil"/>
              <w:bottom w:val="nil"/>
            </w:tcBorders>
            <w:hideMark/>
          </w:tcPr>
          <w:p w14:paraId="16ADF5CF" w14:textId="77777777" w:rsidR="00465776" w:rsidRPr="009468B6" w:rsidRDefault="00465776" w:rsidP="00613D10">
            <w:pPr>
              <w:pStyle w:val="Para"/>
              <w:rPr>
                <w:sz w:val="10"/>
                <w:szCs w:val="10"/>
              </w:rPr>
            </w:pPr>
          </w:p>
        </w:tc>
        <w:tc>
          <w:tcPr>
            <w:tcW w:w="1440" w:type="dxa"/>
            <w:vMerge/>
            <w:tcBorders>
              <w:top w:val="nil"/>
              <w:bottom w:val="nil"/>
            </w:tcBorders>
            <w:hideMark/>
          </w:tcPr>
          <w:p w14:paraId="2ABBC79D" w14:textId="77777777" w:rsidR="00465776" w:rsidRPr="009468B6" w:rsidRDefault="00465776" w:rsidP="00613D10">
            <w:pPr>
              <w:pStyle w:val="Para"/>
              <w:rPr>
                <w:sz w:val="10"/>
                <w:szCs w:val="10"/>
              </w:rPr>
            </w:pPr>
          </w:p>
        </w:tc>
        <w:tc>
          <w:tcPr>
            <w:tcW w:w="4593" w:type="dxa"/>
            <w:vMerge/>
            <w:tcBorders>
              <w:top w:val="nil"/>
              <w:bottom w:val="nil"/>
            </w:tcBorders>
            <w:hideMark/>
          </w:tcPr>
          <w:p w14:paraId="00E59B78" w14:textId="77777777" w:rsidR="00465776" w:rsidRPr="009468B6" w:rsidRDefault="00465776" w:rsidP="00613D10">
            <w:pPr>
              <w:pStyle w:val="Para"/>
              <w:rPr>
                <w:sz w:val="10"/>
                <w:szCs w:val="10"/>
              </w:rPr>
            </w:pPr>
          </w:p>
        </w:tc>
      </w:tr>
      <w:tr w:rsidR="00465776" w:rsidRPr="009468B6" w14:paraId="5DC8FDEB" w14:textId="77777777" w:rsidTr="00613D10">
        <w:tc>
          <w:tcPr>
            <w:tcW w:w="535" w:type="dxa"/>
            <w:vMerge w:val="restart"/>
            <w:tcBorders>
              <w:top w:val="nil"/>
              <w:bottom w:val="nil"/>
            </w:tcBorders>
            <w:hideMark/>
          </w:tcPr>
          <w:p w14:paraId="5FF049B1" w14:textId="77777777" w:rsidR="00465776" w:rsidRPr="009468B6" w:rsidRDefault="00465776" w:rsidP="00613D10">
            <w:pPr>
              <w:pStyle w:val="Para"/>
              <w:rPr>
                <w:sz w:val="10"/>
                <w:szCs w:val="10"/>
              </w:rPr>
            </w:pPr>
            <w:r w:rsidRPr="009468B6">
              <w:rPr>
                <w:sz w:val="10"/>
                <w:szCs w:val="10"/>
              </w:rPr>
              <w:t>Sundel et al, 2003 [23]</w:t>
            </w:r>
          </w:p>
        </w:tc>
        <w:tc>
          <w:tcPr>
            <w:tcW w:w="720" w:type="dxa"/>
            <w:tcBorders>
              <w:top w:val="nil"/>
              <w:bottom w:val="nil"/>
            </w:tcBorders>
            <w:hideMark/>
          </w:tcPr>
          <w:p w14:paraId="20480612" w14:textId="77777777" w:rsidR="00465776" w:rsidRPr="009468B6" w:rsidRDefault="00465776" w:rsidP="00613D10">
            <w:pPr>
              <w:pStyle w:val="Para"/>
              <w:rPr>
                <w:sz w:val="10"/>
                <w:szCs w:val="10"/>
              </w:rPr>
            </w:pPr>
            <w:r w:rsidRPr="009468B6">
              <w:rPr>
                <w:sz w:val="10"/>
                <w:szCs w:val="10"/>
              </w:rPr>
              <w:t>Standard Tx + corticosteroids</w:t>
            </w:r>
          </w:p>
        </w:tc>
        <w:tc>
          <w:tcPr>
            <w:tcW w:w="450" w:type="dxa"/>
            <w:tcBorders>
              <w:top w:val="nil"/>
              <w:bottom w:val="nil"/>
            </w:tcBorders>
            <w:hideMark/>
          </w:tcPr>
          <w:p w14:paraId="061D90F2" w14:textId="77777777" w:rsidR="00465776" w:rsidRPr="009468B6" w:rsidRDefault="00465776" w:rsidP="00613D10">
            <w:pPr>
              <w:pStyle w:val="Para"/>
              <w:rPr>
                <w:sz w:val="10"/>
                <w:szCs w:val="10"/>
              </w:rPr>
            </w:pPr>
            <w:r w:rsidRPr="009468B6">
              <w:rPr>
                <w:sz w:val="10"/>
                <w:szCs w:val="10"/>
              </w:rPr>
              <w:t>18</w:t>
            </w:r>
          </w:p>
        </w:tc>
        <w:tc>
          <w:tcPr>
            <w:tcW w:w="540" w:type="dxa"/>
            <w:vMerge w:val="restart"/>
            <w:tcBorders>
              <w:top w:val="nil"/>
              <w:bottom w:val="nil"/>
            </w:tcBorders>
            <w:hideMark/>
          </w:tcPr>
          <w:p w14:paraId="374E546E" w14:textId="77777777" w:rsidR="00465776" w:rsidRPr="009468B6" w:rsidRDefault="00465776" w:rsidP="00613D10">
            <w:pPr>
              <w:pStyle w:val="Para"/>
              <w:rPr>
                <w:sz w:val="10"/>
                <w:szCs w:val="10"/>
              </w:rPr>
            </w:pPr>
            <w:r w:rsidRPr="009468B6">
              <w:rPr>
                <w:sz w:val="10"/>
                <w:szCs w:val="10"/>
              </w:rPr>
              <w:t>USA</w:t>
            </w:r>
          </w:p>
        </w:tc>
        <w:tc>
          <w:tcPr>
            <w:tcW w:w="540" w:type="dxa"/>
            <w:vMerge w:val="restart"/>
            <w:tcBorders>
              <w:top w:val="nil"/>
              <w:bottom w:val="nil"/>
            </w:tcBorders>
            <w:hideMark/>
          </w:tcPr>
          <w:p w14:paraId="5309C27F" w14:textId="77777777" w:rsidR="00465776" w:rsidRPr="009468B6" w:rsidRDefault="00465776" w:rsidP="00613D10">
            <w:pPr>
              <w:pStyle w:val="Para"/>
              <w:rPr>
                <w:sz w:val="10"/>
                <w:szCs w:val="10"/>
              </w:rPr>
            </w:pPr>
            <w:r w:rsidRPr="009468B6">
              <w:rPr>
                <w:sz w:val="10"/>
                <w:szCs w:val="10"/>
              </w:rPr>
              <w:t>RCT</w:t>
            </w:r>
          </w:p>
        </w:tc>
        <w:tc>
          <w:tcPr>
            <w:tcW w:w="900" w:type="dxa"/>
            <w:vMerge w:val="restart"/>
            <w:tcBorders>
              <w:top w:val="nil"/>
              <w:bottom w:val="nil"/>
            </w:tcBorders>
            <w:hideMark/>
          </w:tcPr>
          <w:p w14:paraId="3877675E" w14:textId="77777777" w:rsidR="00465776" w:rsidRPr="009468B6" w:rsidRDefault="00465776" w:rsidP="00613D10">
            <w:pPr>
              <w:pStyle w:val="Para"/>
              <w:rPr>
                <w:sz w:val="10"/>
                <w:szCs w:val="10"/>
              </w:rPr>
            </w:pPr>
            <w:r w:rsidRPr="009468B6">
              <w:rPr>
                <w:sz w:val="10"/>
                <w:szCs w:val="10"/>
              </w:rPr>
              <w:t>Children's Hospital, Boston</w:t>
            </w:r>
          </w:p>
        </w:tc>
        <w:tc>
          <w:tcPr>
            <w:tcW w:w="630" w:type="dxa"/>
            <w:vMerge w:val="restart"/>
            <w:tcBorders>
              <w:top w:val="nil"/>
              <w:bottom w:val="nil"/>
            </w:tcBorders>
            <w:hideMark/>
          </w:tcPr>
          <w:p w14:paraId="57C543D5" w14:textId="77777777" w:rsidR="00465776" w:rsidRPr="009468B6" w:rsidRDefault="00465776" w:rsidP="00613D10">
            <w:pPr>
              <w:pStyle w:val="Para"/>
              <w:rPr>
                <w:sz w:val="10"/>
                <w:szCs w:val="10"/>
              </w:rPr>
            </w:pPr>
            <w:r w:rsidRPr="009468B6">
              <w:rPr>
                <w:sz w:val="10"/>
                <w:szCs w:val="10"/>
              </w:rPr>
              <w:t>February 1998 – November 2000</w:t>
            </w:r>
          </w:p>
        </w:tc>
        <w:tc>
          <w:tcPr>
            <w:tcW w:w="720" w:type="dxa"/>
            <w:vMerge w:val="restart"/>
            <w:tcBorders>
              <w:top w:val="nil"/>
              <w:bottom w:val="nil"/>
            </w:tcBorders>
            <w:hideMark/>
          </w:tcPr>
          <w:p w14:paraId="45C8358B" w14:textId="77777777" w:rsidR="00465776" w:rsidRPr="009468B6" w:rsidRDefault="00465776" w:rsidP="00613D10">
            <w:pPr>
              <w:pStyle w:val="Para"/>
              <w:rPr>
                <w:sz w:val="10"/>
                <w:szCs w:val="10"/>
              </w:rPr>
            </w:pPr>
            <w:r w:rsidRPr="009468B6">
              <w:rPr>
                <w:sz w:val="10"/>
                <w:szCs w:val="10"/>
              </w:rPr>
              <w:t>General/unselected KD</w:t>
            </w:r>
          </w:p>
        </w:tc>
        <w:tc>
          <w:tcPr>
            <w:tcW w:w="720" w:type="dxa"/>
            <w:vMerge w:val="restart"/>
            <w:tcBorders>
              <w:top w:val="nil"/>
              <w:bottom w:val="nil"/>
            </w:tcBorders>
            <w:hideMark/>
          </w:tcPr>
          <w:p w14:paraId="2CBAF64E" w14:textId="77777777" w:rsidR="00465776" w:rsidRPr="009468B6" w:rsidRDefault="00465776" w:rsidP="00613D10">
            <w:pPr>
              <w:pStyle w:val="Para"/>
              <w:rPr>
                <w:sz w:val="10"/>
                <w:szCs w:val="10"/>
              </w:rPr>
            </w:pPr>
            <w:r w:rsidRPr="009468B6">
              <w:rPr>
                <w:sz w:val="10"/>
                <w:szCs w:val="10"/>
              </w:rPr>
              <w:t>Yes (mixed)</w:t>
            </w:r>
          </w:p>
        </w:tc>
        <w:tc>
          <w:tcPr>
            <w:tcW w:w="900" w:type="dxa"/>
            <w:vMerge w:val="restart"/>
            <w:tcBorders>
              <w:top w:val="nil"/>
              <w:bottom w:val="nil"/>
            </w:tcBorders>
            <w:hideMark/>
          </w:tcPr>
          <w:p w14:paraId="1B87DBE4" w14:textId="77777777" w:rsidR="00465776" w:rsidRPr="009468B6" w:rsidRDefault="00465776" w:rsidP="00613D10">
            <w:pPr>
              <w:pStyle w:val="Para"/>
              <w:rPr>
                <w:sz w:val="10"/>
                <w:szCs w:val="10"/>
              </w:rPr>
            </w:pPr>
            <w:r w:rsidRPr="009468B6">
              <w:rPr>
                <w:sz w:val="10"/>
                <w:szCs w:val="10"/>
              </w:rPr>
              <w:t>Temperature of ≥ 38.3 °C occurring more than 48 h after the completion of the initial IVIG treatment, without an alternative explanation</w:t>
            </w:r>
          </w:p>
        </w:tc>
        <w:tc>
          <w:tcPr>
            <w:tcW w:w="540" w:type="dxa"/>
            <w:vMerge w:val="restart"/>
            <w:tcBorders>
              <w:top w:val="nil"/>
              <w:bottom w:val="nil"/>
            </w:tcBorders>
            <w:hideMark/>
          </w:tcPr>
          <w:p w14:paraId="460B6D3B" w14:textId="77777777" w:rsidR="00465776" w:rsidRPr="009468B6" w:rsidRDefault="00465776" w:rsidP="00613D10">
            <w:pPr>
              <w:pStyle w:val="Para"/>
              <w:rPr>
                <w:sz w:val="10"/>
                <w:szCs w:val="10"/>
              </w:rPr>
            </w:pPr>
            <w:r w:rsidRPr="009468B6">
              <w:rPr>
                <w:sz w:val="10"/>
                <w:szCs w:val="10"/>
              </w:rPr>
              <w:t>1.5</w:t>
            </w:r>
          </w:p>
        </w:tc>
        <w:tc>
          <w:tcPr>
            <w:tcW w:w="1440" w:type="dxa"/>
            <w:vMerge w:val="restart"/>
            <w:tcBorders>
              <w:top w:val="nil"/>
              <w:bottom w:val="nil"/>
            </w:tcBorders>
            <w:hideMark/>
          </w:tcPr>
          <w:p w14:paraId="3F6A3B23" w14:textId="77777777" w:rsidR="00465776" w:rsidRPr="009468B6" w:rsidRDefault="00465776" w:rsidP="00613D10">
            <w:pPr>
              <w:pStyle w:val="Para"/>
              <w:rPr>
                <w:sz w:val="10"/>
                <w:szCs w:val="10"/>
              </w:rPr>
            </w:pPr>
            <w:r w:rsidRPr="009468B6">
              <w:rPr>
                <w:sz w:val="10"/>
                <w:szCs w:val="10"/>
              </w:rPr>
              <w:t>Children with fever for ≤ 10 days who met at least four of the five clinical criteria for KD. Excluded those with a prior history of KD, baseline coronary aneurysms (by Japanese criteria), possible infections, or contraindications to steroids.</w:t>
            </w:r>
          </w:p>
        </w:tc>
        <w:tc>
          <w:tcPr>
            <w:tcW w:w="4593" w:type="dxa"/>
            <w:vMerge w:val="restart"/>
            <w:tcBorders>
              <w:top w:val="nil"/>
              <w:bottom w:val="nil"/>
            </w:tcBorders>
            <w:hideMark/>
          </w:tcPr>
          <w:p w14:paraId="696B8B39" w14:textId="77777777" w:rsidR="00465776" w:rsidRPr="009468B6" w:rsidRDefault="00465776" w:rsidP="00613D10">
            <w:pPr>
              <w:pStyle w:val="Para"/>
              <w:rPr>
                <w:sz w:val="10"/>
                <w:szCs w:val="10"/>
              </w:rPr>
            </w:pPr>
            <w:r w:rsidRPr="009468B6">
              <w:rPr>
                <w:sz w:val="10"/>
                <w:szCs w:val="10"/>
              </w:rPr>
              <w:t>This prospective randomized trial evaluated the efficacy of adding a single pulse of IV methylprednisolone (IVMP) to standard initial IVIG and aspirin therapy in a general population of children with acute KD. The intervention arm demonstrated significantly faster clinical recovery, characterized by a shorter total duration of fever and decreased hospital length of stay compared to the standard therapy group. Furthermore, patients receiving IVMP showed more rapid normalization of systemic inflammatory markers, specifically CRP and ESR, by 6 weeks. While the study lacked sufficient statistical power to detect major differences in long-term coronary artery outcomes, the incidence of coronary abnormalities remained similar between the two groups. The adjunct steroid therapy was well tolerated, with infrequent adverse events, indicating that pulse methylprednisolone is a safe and effective approach for accelerating systemic anti-inflammatory recovery in acute KD.</w:t>
            </w:r>
          </w:p>
        </w:tc>
      </w:tr>
      <w:tr w:rsidR="00465776" w:rsidRPr="009468B6" w14:paraId="1BCC6958" w14:textId="77777777" w:rsidTr="00613D10">
        <w:tc>
          <w:tcPr>
            <w:tcW w:w="535" w:type="dxa"/>
            <w:vMerge/>
            <w:tcBorders>
              <w:top w:val="nil"/>
              <w:bottom w:val="nil"/>
            </w:tcBorders>
            <w:hideMark/>
          </w:tcPr>
          <w:p w14:paraId="02C21603" w14:textId="77777777" w:rsidR="00465776" w:rsidRPr="009468B6" w:rsidRDefault="00465776" w:rsidP="00613D10">
            <w:pPr>
              <w:pStyle w:val="Para"/>
              <w:rPr>
                <w:sz w:val="10"/>
                <w:szCs w:val="10"/>
              </w:rPr>
            </w:pPr>
          </w:p>
        </w:tc>
        <w:tc>
          <w:tcPr>
            <w:tcW w:w="720" w:type="dxa"/>
            <w:tcBorders>
              <w:top w:val="nil"/>
              <w:bottom w:val="nil"/>
            </w:tcBorders>
            <w:hideMark/>
          </w:tcPr>
          <w:p w14:paraId="6AD32B4F" w14:textId="77777777" w:rsidR="00465776" w:rsidRPr="009468B6" w:rsidRDefault="00465776" w:rsidP="00613D10">
            <w:pPr>
              <w:pStyle w:val="Para"/>
              <w:rPr>
                <w:sz w:val="10"/>
                <w:szCs w:val="10"/>
              </w:rPr>
            </w:pPr>
            <w:r w:rsidRPr="009468B6">
              <w:rPr>
                <w:sz w:val="10"/>
                <w:szCs w:val="10"/>
              </w:rPr>
              <w:t>Standard Tx</w:t>
            </w:r>
          </w:p>
        </w:tc>
        <w:tc>
          <w:tcPr>
            <w:tcW w:w="450" w:type="dxa"/>
            <w:tcBorders>
              <w:top w:val="nil"/>
              <w:bottom w:val="nil"/>
            </w:tcBorders>
            <w:hideMark/>
          </w:tcPr>
          <w:p w14:paraId="423154B6" w14:textId="77777777" w:rsidR="00465776" w:rsidRPr="009468B6" w:rsidRDefault="00465776" w:rsidP="00613D10">
            <w:pPr>
              <w:pStyle w:val="Para"/>
              <w:rPr>
                <w:sz w:val="10"/>
                <w:szCs w:val="10"/>
              </w:rPr>
            </w:pPr>
            <w:r w:rsidRPr="009468B6">
              <w:rPr>
                <w:sz w:val="10"/>
                <w:szCs w:val="10"/>
              </w:rPr>
              <w:t>21</w:t>
            </w:r>
          </w:p>
        </w:tc>
        <w:tc>
          <w:tcPr>
            <w:tcW w:w="540" w:type="dxa"/>
            <w:vMerge/>
            <w:tcBorders>
              <w:top w:val="nil"/>
              <w:bottom w:val="nil"/>
            </w:tcBorders>
            <w:hideMark/>
          </w:tcPr>
          <w:p w14:paraId="798BA0F5" w14:textId="77777777" w:rsidR="00465776" w:rsidRPr="009468B6" w:rsidRDefault="00465776" w:rsidP="00613D10">
            <w:pPr>
              <w:pStyle w:val="Para"/>
              <w:rPr>
                <w:sz w:val="10"/>
                <w:szCs w:val="10"/>
              </w:rPr>
            </w:pPr>
          </w:p>
        </w:tc>
        <w:tc>
          <w:tcPr>
            <w:tcW w:w="540" w:type="dxa"/>
            <w:vMerge/>
            <w:tcBorders>
              <w:top w:val="nil"/>
              <w:bottom w:val="nil"/>
            </w:tcBorders>
            <w:hideMark/>
          </w:tcPr>
          <w:p w14:paraId="7CAAC4D8" w14:textId="77777777" w:rsidR="00465776" w:rsidRPr="009468B6" w:rsidRDefault="00465776" w:rsidP="00613D10">
            <w:pPr>
              <w:pStyle w:val="Para"/>
              <w:rPr>
                <w:sz w:val="10"/>
                <w:szCs w:val="10"/>
              </w:rPr>
            </w:pPr>
          </w:p>
        </w:tc>
        <w:tc>
          <w:tcPr>
            <w:tcW w:w="900" w:type="dxa"/>
            <w:vMerge/>
            <w:tcBorders>
              <w:top w:val="nil"/>
              <w:bottom w:val="nil"/>
            </w:tcBorders>
            <w:hideMark/>
          </w:tcPr>
          <w:p w14:paraId="3E4E9DC3" w14:textId="77777777" w:rsidR="00465776" w:rsidRPr="009468B6" w:rsidRDefault="00465776" w:rsidP="00613D10">
            <w:pPr>
              <w:pStyle w:val="Para"/>
              <w:rPr>
                <w:sz w:val="10"/>
                <w:szCs w:val="10"/>
              </w:rPr>
            </w:pPr>
          </w:p>
        </w:tc>
        <w:tc>
          <w:tcPr>
            <w:tcW w:w="630" w:type="dxa"/>
            <w:vMerge/>
            <w:tcBorders>
              <w:top w:val="nil"/>
              <w:bottom w:val="nil"/>
            </w:tcBorders>
            <w:hideMark/>
          </w:tcPr>
          <w:p w14:paraId="69070F17" w14:textId="77777777" w:rsidR="00465776" w:rsidRPr="009468B6" w:rsidRDefault="00465776" w:rsidP="00613D10">
            <w:pPr>
              <w:pStyle w:val="Para"/>
              <w:rPr>
                <w:sz w:val="10"/>
                <w:szCs w:val="10"/>
              </w:rPr>
            </w:pPr>
          </w:p>
        </w:tc>
        <w:tc>
          <w:tcPr>
            <w:tcW w:w="720" w:type="dxa"/>
            <w:vMerge/>
            <w:tcBorders>
              <w:top w:val="nil"/>
              <w:bottom w:val="nil"/>
            </w:tcBorders>
            <w:hideMark/>
          </w:tcPr>
          <w:p w14:paraId="4EDAC99C" w14:textId="77777777" w:rsidR="00465776" w:rsidRPr="009468B6" w:rsidRDefault="00465776" w:rsidP="00613D10">
            <w:pPr>
              <w:pStyle w:val="Para"/>
              <w:rPr>
                <w:sz w:val="10"/>
                <w:szCs w:val="10"/>
              </w:rPr>
            </w:pPr>
          </w:p>
        </w:tc>
        <w:tc>
          <w:tcPr>
            <w:tcW w:w="720" w:type="dxa"/>
            <w:vMerge/>
            <w:tcBorders>
              <w:top w:val="nil"/>
              <w:bottom w:val="nil"/>
            </w:tcBorders>
            <w:hideMark/>
          </w:tcPr>
          <w:p w14:paraId="3A7540DC" w14:textId="77777777" w:rsidR="00465776" w:rsidRPr="009468B6" w:rsidRDefault="00465776" w:rsidP="00613D10">
            <w:pPr>
              <w:pStyle w:val="Para"/>
              <w:rPr>
                <w:sz w:val="10"/>
                <w:szCs w:val="10"/>
              </w:rPr>
            </w:pPr>
          </w:p>
        </w:tc>
        <w:tc>
          <w:tcPr>
            <w:tcW w:w="900" w:type="dxa"/>
            <w:vMerge/>
            <w:tcBorders>
              <w:top w:val="nil"/>
              <w:bottom w:val="nil"/>
            </w:tcBorders>
            <w:hideMark/>
          </w:tcPr>
          <w:p w14:paraId="3F4613EF" w14:textId="77777777" w:rsidR="00465776" w:rsidRPr="009468B6" w:rsidRDefault="00465776" w:rsidP="00613D10">
            <w:pPr>
              <w:pStyle w:val="Para"/>
              <w:rPr>
                <w:sz w:val="10"/>
                <w:szCs w:val="10"/>
              </w:rPr>
            </w:pPr>
          </w:p>
        </w:tc>
        <w:tc>
          <w:tcPr>
            <w:tcW w:w="540" w:type="dxa"/>
            <w:vMerge/>
            <w:tcBorders>
              <w:top w:val="nil"/>
              <w:bottom w:val="nil"/>
            </w:tcBorders>
            <w:hideMark/>
          </w:tcPr>
          <w:p w14:paraId="7E7793C2" w14:textId="77777777" w:rsidR="00465776" w:rsidRPr="009468B6" w:rsidRDefault="00465776" w:rsidP="00613D10">
            <w:pPr>
              <w:pStyle w:val="Para"/>
              <w:rPr>
                <w:sz w:val="10"/>
                <w:szCs w:val="10"/>
              </w:rPr>
            </w:pPr>
          </w:p>
        </w:tc>
        <w:tc>
          <w:tcPr>
            <w:tcW w:w="1440" w:type="dxa"/>
            <w:vMerge/>
            <w:tcBorders>
              <w:top w:val="nil"/>
              <w:bottom w:val="nil"/>
            </w:tcBorders>
            <w:hideMark/>
          </w:tcPr>
          <w:p w14:paraId="4C6C74CF" w14:textId="77777777" w:rsidR="00465776" w:rsidRPr="009468B6" w:rsidRDefault="00465776" w:rsidP="00613D10">
            <w:pPr>
              <w:pStyle w:val="Para"/>
              <w:rPr>
                <w:sz w:val="10"/>
                <w:szCs w:val="10"/>
              </w:rPr>
            </w:pPr>
          </w:p>
        </w:tc>
        <w:tc>
          <w:tcPr>
            <w:tcW w:w="4593" w:type="dxa"/>
            <w:vMerge/>
            <w:tcBorders>
              <w:top w:val="nil"/>
              <w:bottom w:val="nil"/>
            </w:tcBorders>
            <w:hideMark/>
          </w:tcPr>
          <w:p w14:paraId="77CA0270" w14:textId="77777777" w:rsidR="00465776" w:rsidRPr="009468B6" w:rsidRDefault="00465776" w:rsidP="00613D10">
            <w:pPr>
              <w:pStyle w:val="Para"/>
              <w:rPr>
                <w:sz w:val="10"/>
                <w:szCs w:val="10"/>
              </w:rPr>
            </w:pPr>
          </w:p>
        </w:tc>
      </w:tr>
      <w:tr w:rsidR="00465776" w:rsidRPr="009468B6" w14:paraId="72205442" w14:textId="77777777" w:rsidTr="00613D10">
        <w:tc>
          <w:tcPr>
            <w:tcW w:w="535" w:type="dxa"/>
            <w:vMerge w:val="restart"/>
            <w:tcBorders>
              <w:top w:val="nil"/>
              <w:bottom w:val="nil"/>
            </w:tcBorders>
            <w:hideMark/>
          </w:tcPr>
          <w:p w14:paraId="0BF202C1" w14:textId="77777777" w:rsidR="00465776" w:rsidRPr="009468B6" w:rsidRDefault="00465776" w:rsidP="00613D10">
            <w:pPr>
              <w:pStyle w:val="Para"/>
              <w:rPr>
                <w:sz w:val="10"/>
                <w:szCs w:val="10"/>
              </w:rPr>
            </w:pPr>
            <w:r w:rsidRPr="009468B6">
              <w:rPr>
                <w:sz w:val="10"/>
                <w:szCs w:val="10"/>
              </w:rPr>
              <w:t>Wang et al, 2020 [24]</w:t>
            </w:r>
          </w:p>
        </w:tc>
        <w:tc>
          <w:tcPr>
            <w:tcW w:w="720" w:type="dxa"/>
            <w:tcBorders>
              <w:top w:val="nil"/>
              <w:bottom w:val="nil"/>
            </w:tcBorders>
            <w:hideMark/>
          </w:tcPr>
          <w:p w14:paraId="5E6058EA" w14:textId="77777777" w:rsidR="00465776" w:rsidRPr="009468B6" w:rsidRDefault="00465776" w:rsidP="00613D10">
            <w:pPr>
              <w:pStyle w:val="Para"/>
              <w:rPr>
                <w:sz w:val="10"/>
                <w:szCs w:val="10"/>
              </w:rPr>
            </w:pPr>
            <w:r w:rsidRPr="009468B6">
              <w:rPr>
                <w:sz w:val="10"/>
                <w:szCs w:val="10"/>
              </w:rPr>
              <w:t xml:space="preserve">IV methylprednisolone 15 mg/kg/day </w:t>
            </w:r>
            <w:r w:rsidRPr="009468B6">
              <w:rPr>
                <w:sz w:val="10"/>
                <w:szCs w:val="10"/>
              </w:rPr>
              <w:lastRenderedPageBreak/>
              <w:t>for 3 days, without subsequent oral prednisone taper</w:t>
            </w:r>
          </w:p>
        </w:tc>
        <w:tc>
          <w:tcPr>
            <w:tcW w:w="450" w:type="dxa"/>
            <w:tcBorders>
              <w:top w:val="nil"/>
              <w:bottom w:val="nil"/>
            </w:tcBorders>
            <w:hideMark/>
          </w:tcPr>
          <w:p w14:paraId="313FE8B1" w14:textId="77777777" w:rsidR="00465776" w:rsidRPr="009468B6" w:rsidRDefault="00465776" w:rsidP="00613D10">
            <w:pPr>
              <w:pStyle w:val="Para"/>
              <w:rPr>
                <w:sz w:val="10"/>
                <w:szCs w:val="10"/>
              </w:rPr>
            </w:pPr>
            <w:r w:rsidRPr="009468B6">
              <w:rPr>
                <w:sz w:val="10"/>
                <w:szCs w:val="10"/>
              </w:rPr>
              <w:lastRenderedPageBreak/>
              <w:t>40</w:t>
            </w:r>
          </w:p>
        </w:tc>
        <w:tc>
          <w:tcPr>
            <w:tcW w:w="540" w:type="dxa"/>
            <w:vMerge w:val="restart"/>
            <w:tcBorders>
              <w:top w:val="nil"/>
              <w:bottom w:val="nil"/>
            </w:tcBorders>
            <w:hideMark/>
          </w:tcPr>
          <w:p w14:paraId="7BCEA66A" w14:textId="77777777" w:rsidR="00465776" w:rsidRPr="009468B6" w:rsidRDefault="00465776" w:rsidP="00613D10">
            <w:pPr>
              <w:pStyle w:val="Para"/>
              <w:rPr>
                <w:sz w:val="10"/>
                <w:szCs w:val="10"/>
              </w:rPr>
            </w:pPr>
            <w:r w:rsidRPr="009468B6">
              <w:rPr>
                <w:sz w:val="10"/>
                <w:szCs w:val="10"/>
              </w:rPr>
              <w:t>China</w:t>
            </w:r>
          </w:p>
        </w:tc>
        <w:tc>
          <w:tcPr>
            <w:tcW w:w="540" w:type="dxa"/>
            <w:vMerge w:val="restart"/>
            <w:tcBorders>
              <w:top w:val="nil"/>
              <w:bottom w:val="nil"/>
            </w:tcBorders>
            <w:hideMark/>
          </w:tcPr>
          <w:p w14:paraId="41D321BA" w14:textId="77777777" w:rsidR="00465776" w:rsidRPr="009468B6" w:rsidRDefault="00465776" w:rsidP="00613D10">
            <w:pPr>
              <w:pStyle w:val="Para"/>
              <w:rPr>
                <w:sz w:val="10"/>
                <w:szCs w:val="10"/>
              </w:rPr>
            </w:pPr>
            <w:r w:rsidRPr="009468B6">
              <w:rPr>
                <w:sz w:val="10"/>
                <w:szCs w:val="10"/>
              </w:rPr>
              <w:t>RCT</w:t>
            </w:r>
          </w:p>
        </w:tc>
        <w:tc>
          <w:tcPr>
            <w:tcW w:w="900" w:type="dxa"/>
            <w:vMerge w:val="restart"/>
            <w:tcBorders>
              <w:top w:val="nil"/>
              <w:bottom w:val="nil"/>
            </w:tcBorders>
            <w:hideMark/>
          </w:tcPr>
          <w:p w14:paraId="5BC1A1BA" w14:textId="77777777" w:rsidR="00465776" w:rsidRPr="009468B6" w:rsidRDefault="00465776" w:rsidP="00613D10">
            <w:pPr>
              <w:pStyle w:val="Para"/>
              <w:rPr>
                <w:sz w:val="10"/>
                <w:szCs w:val="10"/>
              </w:rPr>
            </w:pPr>
            <w:r w:rsidRPr="009468B6">
              <w:rPr>
                <w:sz w:val="10"/>
                <w:szCs w:val="10"/>
              </w:rPr>
              <w:t xml:space="preserve">Guangzhou Women and Children’s Medical Center; </w:t>
            </w:r>
            <w:r w:rsidRPr="009468B6">
              <w:rPr>
                <w:sz w:val="10"/>
                <w:szCs w:val="10"/>
              </w:rPr>
              <w:lastRenderedPageBreak/>
              <w:t>ChiCTR-EOC-17013266</w:t>
            </w:r>
          </w:p>
        </w:tc>
        <w:tc>
          <w:tcPr>
            <w:tcW w:w="630" w:type="dxa"/>
            <w:vMerge w:val="restart"/>
            <w:tcBorders>
              <w:top w:val="nil"/>
              <w:bottom w:val="nil"/>
            </w:tcBorders>
            <w:hideMark/>
          </w:tcPr>
          <w:p w14:paraId="2E664F83" w14:textId="77777777" w:rsidR="00465776" w:rsidRPr="009468B6" w:rsidRDefault="00465776" w:rsidP="00613D10">
            <w:pPr>
              <w:pStyle w:val="Para"/>
              <w:rPr>
                <w:sz w:val="10"/>
                <w:szCs w:val="10"/>
              </w:rPr>
            </w:pPr>
            <w:r w:rsidRPr="009468B6">
              <w:rPr>
                <w:sz w:val="10"/>
                <w:szCs w:val="10"/>
              </w:rPr>
              <w:lastRenderedPageBreak/>
              <w:t>January 2018 – Junn 2019</w:t>
            </w:r>
          </w:p>
        </w:tc>
        <w:tc>
          <w:tcPr>
            <w:tcW w:w="720" w:type="dxa"/>
            <w:vMerge w:val="restart"/>
            <w:tcBorders>
              <w:top w:val="nil"/>
              <w:bottom w:val="nil"/>
            </w:tcBorders>
            <w:hideMark/>
          </w:tcPr>
          <w:p w14:paraId="2605207E" w14:textId="77777777" w:rsidR="00465776" w:rsidRPr="009468B6" w:rsidRDefault="00465776" w:rsidP="00613D10">
            <w:pPr>
              <w:pStyle w:val="Para"/>
              <w:rPr>
                <w:sz w:val="10"/>
                <w:szCs w:val="10"/>
              </w:rPr>
            </w:pPr>
            <w:r w:rsidRPr="009468B6">
              <w:rPr>
                <w:sz w:val="10"/>
                <w:szCs w:val="10"/>
              </w:rPr>
              <w:t>Established IVIG-resistant KD</w:t>
            </w:r>
          </w:p>
        </w:tc>
        <w:tc>
          <w:tcPr>
            <w:tcW w:w="720" w:type="dxa"/>
            <w:vMerge w:val="restart"/>
            <w:tcBorders>
              <w:top w:val="nil"/>
              <w:bottom w:val="nil"/>
            </w:tcBorders>
            <w:hideMark/>
          </w:tcPr>
          <w:p w14:paraId="2DBC5BB0" w14:textId="77777777" w:rsidR="00465776" w:rsidRPr="009468B6" w:rsidRDefault="00465776" w:rsidP="00613D10">
            <w:pPr>
              <w:pStyle w:val="Para"/>
              <w:rPr>
                <w:sz w:val="10"/>
                <w:szCs w:val="10"/>
              </w:rPr>
            </w:pPr>
            <w:r w:rsidRPr="009468B6">
              <w:rPr>
                <w:sz w:val="10"/>
                <w:szCs w:val="10"/>
              </w:rPr>
              <w:t>Yes (mixed)</w:t>
            </w:r>
          </w:p>
        </w:tc>
        <w:tc>
          <w:tcPr>
            <w:tcW w:w="900" w:type="dxa"/>
            <w:vMerge w:val="restart"/>
            <w:tcBorders>
              <w:top w:val="nil"/>
              <w:bottom w:val="nil"/>
            </w:tcBorders>
            <w:hideMark/>
          </w:tcPr>
          <w:p w14:paraId="2E164794" w14:textId="77777777" w:rsidR="00465776" w:rsidRPr="009468B6" w:rsidRDefault="00465776" w:rsidP="00613D10">
            <w:pPr>
              <w:pStyle w:val="Para"/>
              <w:rPr>
                <w:sz w:val="10"/>
                <w:szCs w:val="10"/>
              </w:rPr>
            </w:pPr>
            <w:r w:rsidRPr="009468B6">
              <w:rPr>
                <w:sz w:val="10"/>
                <w:szCs w:val="10"/>
              </w:rPr>
              <w:t xml:space="preserve">Recrudescent or persistent fever at least 36 h after the end of </w:t>
            </w:r>
            <w:r w:rsidRPr="009468B6">
              <w:rPr>
                <w:sz w:val="10"/>
                <w:szCs w:val="10"/>
              </w:rPr>
              <w:lastRenderedPageBreak/>
              <w:t>the first IVIG infusion</w:t>
            </w:r>
          </w:p>
        </w:tc>
        <w:tc>
          <w:tcPr>
            <w:tcW w:w="540" w:type="dxa"/>
            <w:vMerge w:val="restart"/>
            <w:tcBorders>
              <w:top w:val="nil"/>
              <w:bottom w:val="nil"/>
            </w:tcBorders>
            <w:hideMark/>
          </w:tcPr>
          <w:p w14:paraId="27C4CE09" w14:textId="77777777" w:rsidR="00465776" w:rsidRPr="009468B6" w:rsidRDefault="00465776" w:rsidP="00613D10">
            <w:pPr>
              <w:pStyle w:val="Para"/>
              <w:rPr>
                <w:sz w:val="10"/>
                <w:szCs w:val="10"/>
              </w:rPr>
            </w:pPr>
            <w:r w:rsidRPr="009468B6">
              <w:rPr>
                <w:sz w:val="10"/>
                <w:szCs w:val="10"/>
              </w:rPr>
              <w:lastRenderedPageBreak/>
              <w:t>24</w:t>
            </w:r>
          </w:p>
        </w:tc>
        <w:tc>
          <w:tcPr>
            <w:tcW w:w="1440" w:type="dxa"/>
            <w:vMerge w:val="restart"/>
            <w:tcBorders>
              <w:top w:val="nil"/>
              <w:bottom w:val="nil"/>
            </w:tcBorders>
            <w:hideMark/>
          </w:tcPr>
          <w:p w14:paraId="4420FDDF" w14:textId="77777777" w:rsidR="00465776" w:rsidRPr="009468B6" w:rsidRDefault="00465776" w:rsidP="00613D10">
            <w:pPr>
              <w:pStyle w:val="Para"/>
              <w:rPr>
                <w:sz w:val="10"/>
                <w:szCs w:val="10"/>
              </w:rPr>
            </w:pPr>
            <w:r w:rsidRPr="009468B6">
              <w:rPr>
                <w:sz w:val="10"/>
                <w:szCs w:val="10"/>
              </w:rPr>
              <w:t xml:space="preserve">Hospitalized patients meeting 2017 AHA KD diagnostic criteria who demonstrated resistance to initial IVIG therapy. Excluded </w:t>
            </w:r>
            <w:r w:rsidRPr="009468B6">
              <w:rPr>
                <w:sz w:val="10"/>
                <w:szCs w:val="10"/>
              </w:rPr>
              <w:lastRenderedPageBreak/>
              <w:t>patients with prior KD history, recent corticosteroid/immunosuppressant use, or other conditions affecting temperature.</w:t>
            </w:r>
          </w:p>
        </w:tc>
        <w:tc>
          <w:tcPr>
            <w:tcW w:w="4593" w:type="dxa"/>
            <w:vMerge w:val="restart"/>
            <w:tcBorders>
              <w:top w:val="nil"/>
              <w:bottom w:val="nil"/>
            </w:tcBorders>
            <w:hideMark/>
          </w:tcPr>
          <w:p w14:paraId="40B81C3E" w14:textId="77777777" w:rsidR="00465776" w:rsidRPr="009468B6" w:rsidRDefault="00465776" w:rsidP="00613D10">
            <w:pPr>
              <w:pStyle w:val="Para"/>
              <w:rPr>
                <w:sz w:val="10"/>
                <w:szCs w:val="10"/>
              </w:rPr>
            </w:pPr>
            <w:r w:rsidRPr="009468B6">
              <w:rPr>
                <w:sz w:val="10"/>
                <w:szCs w:val="10"/>
              </w:rPr>
              <w:lastRenderedPageBreak/>
              <w:t xml:space="preserve">This prospective RCT investigated the efficacy of MPT versus a second dose of IVIG in children with IVIG-resistant KD. In the short term, MPT demonstrated significantly lower medical costs, faster fever resolution, and more rapid normalization of inflammatory markers (CRP, neutrophils, platelets) without an increased short-term risk of coronary artery lesions. However, MPT was associated with a significantly higher treatment failure and readmission rate (27.5% vs. 10.0%), often requiring third-line </w:t>
            </w:r>
            <w:r w:rsidRPr="009468B6">
              <w:rPr>
                <w:sz w:val="10"/>
                <w:szCs w:val="10"/>
              </w:rPr>
              <w:lastRenderedPageBreak/>
              <w:t>rescue therapy. Crucially, the MPT group experienced a higher incidence of coronary artery lesions during the long-term follow-up at 12 and 24 months. Regarding safety, transient bradycardia occurred in five MPT patients but resolved spontaneously, while the IVIG group reported no adverse events. Ultimately, despite early anti-inflammatory benefits, caution is strongly advised against the routine use of MPT without a subsequent oral taper for IVIG-resistant KD due to inferior long-term coronary outcomes and elevated readmission rates.</w:t>
            </w:r>
          </w:p>
        </w:tc>
      </w:tr>
      <w:tr w:rsidR="00465776" w:rsidRPr="009468B6" w14:paraId="0050D0BC" w14:textId="77777777" w:rsidTr="00613D10">
        <w:tc>
          <w:tcPr>
            <w:tcW w:w="535" w:type="dxa"/>
            <w:vMerge/>
            <w:tcBorders>
              <w:top w:val="nil"/>
              <w:bottom w:val="nil"/>
            </w:tcBorders>
            <w:hideMark/>
          </w:tcPr>
          <w:p w14:paraId="5D4D4ABB" w14:textId="77777777" w:rsidR="00465776" w:rsidRPr="009468B6" w:rsidRDefault="00465776" w:rsidP="00613D10">
            <w:pPr>
              <w:pStyle w:val="Para"/>
              <w:rPr>
                <w:sz w:val="10"/>
                <w:szCs w:val="10"/>
              </w:rPr>
            </w:pPr>
          </w:p>
        </w:tc>
        <w:tc>
          <w:tcPr>
            <w:tcW w:w="720" w:type="dxa"/>
            <w:tcBorders>
              <w:top w:val="nil"/>
              <w:bottom w:val="nil"/>
            </w:tcBorders>
            <w:hideMark/>
          </w:tcPr>
          <w:p w14:paraId="7938D15B" w14:textId="77777777" w:rsidR="00465776" w:rsidRPr="009468B6" w:rsidRDefault="00465776" w:rsidP="00613D10">
            <w:pPr>
              <w:pStyle w:val="Para"/>
              <w:rPr>
                <w:sz w:val="10"/>
                <w:szCs w:val="10"/>
              </w:rPr>
            </w:pPr>
            <w:r w:rsidRPr="009468B6">
              <w:rPr>
                <w:sz w:val="10"/>
                <w:szCs w:val="10"/>
              </w:rPr>
              <w:t>Additional IVIG 2 g/kg, single infusion</w:t>
            </w:r>
          </w:p>
        </w:tc>
        <w:tc>
          <w:tcPr>
            <w:tcW w:w="450" w:type="dxa"/>
            <w:tcBorders>
              <w:top w:val="nil"/>
              <w:bottom w:val="nil"/>
            </w:tcBorders>
            <w:hideMark/>
          </w:tcPr>
          <w:p w14:paraId="13C47FB4" w14:textId="77777777" w:rsidR="00465776" w:rsidRPr="009468B6" w:rsidRDefault="00465776" w:rsidP="00613D10">
            <w:pPr>
              <w:pStyle w:val="Para"/>
              <w:rPr>
                <w:sz w:val="10"/>
                <w:szCs w:val="10"/>
              </w:rPr>
            </w:pPr>
            <w:r w:rsidRPr="009468B6">
              <w:rPr>
                <w:sz w:val="10"/>
                <w:szCs w:val="10"/>
              </w:rPr>
              <w:t>40</w:t>
            </w:r>
          </w:p>
        </w:tc>
        <w:tc>
          <w:tcPr>
            <w:tcW w:w="540" w:type="dxa"/>
            <w:vMerge/>
            <w:tcBorders>
              <w:top w:val="nil"/>
              <w:bottom w:val="nil"/>
            </w:tcBorders>
            <w:hideMark/>
          </w:tcPr>
          <w:p w14:paraId="7463E8BD" w14:textId="77777777" w:rsidR="00465776" w:rsidRPr="009468B6" w:rsidRDefault="00465776" w:rsidP="00613D10">
            <w:pPr>
              <w:pStyle w:val="Para"/>
              <w:rPr>
                <w:sz w:val="10"/>
                <w:szCs w:val="10"/>
              </w:rPr>
            </w:pPr>
          </w:p>
        </w:tc>
        <w:tc>
          <w:tcPr>
            <w:tcW w:w="540" w:type="dxa"/>
            <w:vMerge/>
            <w:tcBorders>
              <w:top w:val="nil"/>
              <w:bottom w:val="nil"/>
            </w:tcBorders>
            <w:hideMark/>
          </w:tcPr>
          <w:p w14:paraId="37E49E63" w14:textId="77777777" w:rsidR="00465776" w:rsidRPr="009468B6" w:rsidRDefault="00465776" w:rsidP="00613D10">
            <w:pPr>
              <w:pStyle w:val="Para"/>
              <w:rPr>
                <w:sz w:val="10"/>
                <w:szCs w:val="10"/>
              </w:rPr>
            </w:pPr>
          </w:p>
        </w:tc>
        <w:tc>
          <w:tcPr>
            <w:tcW w:w="900" w:type="dxa"/>
            <w:vMerge/>
            <w:tcBorders>
              <w:top w:val="nil"/>
              <w:bottom w:val="nil"/>
            </w:tcBorders>
            <w:hideMark/>
          </w:tcPr>
          <w:p w14:paraId="589CFC07" w14:textId="77777777" w:rsidR="00465776" w:rsidRPr="009468B6" w:rsidRDefault="00465776" w:rsidP="00613D10">
            <w:pPr>
              <w:pStyle w:val="Para"/>
              <w:rPr>
                <w:sz w:val="10"/>
                <w:szCs w:val="10"/>
              </w:rPr>
            </w:pPr>
          </w:p>
        </w:tc>
        <w:tc>
          <w:tcPr>
            <w:tcW w:w="630" w:type="dxa"/>
            <w:vMerge/>
            <w:tcBorders>
              <w:top w:val="nil"/>
              <w:bottom w:val="nil"/>
            </w:tcBorders>
            <w:hideMark/>
          </w:tcPr>
          <w:p w14:paraId="197D7E00" w14:textId="77777777" w:rsidR="00465776" w:rsidRPr="009468B6" w:rsidRDefault="00465776" w:rsidP="00613D10">
            <w:pPr>
              <w:pStyle w:val="Para"/>
              <w:rPr>
                <w:sz w:val="10"/>
                <w:szCs w:val="10"/>
              </w:rPr>
            </w:pPr>
          </w:p>
        </w:tc>
        <w:tc>
          <w:tcPr>
            <w:tcW w:w="720" w:type="dxa"/>
            <w:vMerge/>
            <w:tcBorders>
              <w:top w:val="nil"/>
              <w:bottom w:val="nil"/>
            </w:tcBorders>
            <w:hideMark/>
          </w:tcPr>
          <w:p w14:paraId="7E577739" w14:textId="77777777" w:rsidR="00465776" w:rsidRPr="009468B6" w:rsidRDefault="00465776" w:rsidP="00613D10">
            <w:pPr>
              <w:pStyle w:val="Para"/>
              <w:rPr>
                <w:sz w:val="10"/>
                <w:szCs w:val="10"/>
              </w:rPr>
            </w:pPr>
          </w:p>
        </w:tc>
        <w:tc>
          <w:tcPr>
            <w:tcW w:w="720" w:type="dxa"/>
            <w:vMerge/>
            <w:tcBorders>
              <w:top w:val="nil"/>
              <w:bottom w:val="nil"/>
            </w:tcBorders>
            <w:hideMark/>
          </w:tcPr>
          <w:p w14:paraId="7C85D2DE" w14:textId="77777777" w:rsidR="00465776" w:rsidRPr="009468B6" w:rsidRDefault="00465776" w:rsidP="00613D10">
            <w:pPr>
              <w:pStyle w:val="Para"/>
              <w:rPr>
                <w:sz w:val="10"/>
                <w:szCs w:val="10"/>
              </w:rPr>
            </w:pPr>
          </w:p>
        </w:tc>
        <w:tc>
          <w:tcPr>
            <w:tcW w:w="900" w:type="dxa"/>
            <w:vMerge/>
            <w:tcBorders>
              <w:top w:val="nil"/>
              <w:bottom w:val="nil"/>
            </w:tcBorders>
            <w:hideMark/>
          </w:tcPr>
          <w:p w14:paraId="34F796F2" w14:textId="77777777" w:rsidR="00465776" w:rsidRPr="009468B6" w:rsidRDefault="00465776" w:rsidP="00613D10">
            <w:pPr>
              <w:pStyle w:val="Para"/>
              <w:rPr>
                <w:sz w:val="10"/>
                <w:szCs w:val="10"/>
              </w:rPr>
            </w:pPr>
          </w:p>
        </w:tc>
        <w:tc>
          <w:tcPr>
            <w:tcW w:w="540" w:type="dxa"/>
            <w:vMerge/>
            <w:tcBorders>
              <w:top w:val="nil"/>
              <w:bottom w:val="nil"/>
            </w:tcBorders>
            <w:hideMark/>
          </w:tcPr>
          <w:p w14:paraId="196684FA" w14:textId="77777777" w:rsidR="00465776" w:rsidRPr="009468B6" w:rsidRDefault="00465776" w:rsidP="00613D10">
            <w:pPr>
              <w:pStyle w:val="Para"/>
              <w:rPr>
                <w:sz w:val="10"/>
                <w:szCs w:val="10"/>
              </w:rPr>
            </w:pPr>
          </w:p>
        </w:tc>
        <w:tc>
          <w:tcPr>
            <w:tcW w:w="1440" w:type="dxa"/>
            <w:vMerge/>
            <w:tcBorders>
              <w:top w:val="nil"/>
              <w:bottom w:val="nil"/>
            </w:tcBorders>
            <w:hideMark/>
          </w:tcPr>
          <w:p w14:paraId="0D08341B" w14:textId="77777777" w:rsidR="00465776" w:rsidRPr="009468B6" w:rsidRDefault="00465776" w:rsidP="00613D10">
            <w:pPr>
              <w:pStyle w:val="Para"/>
              <w:rPr>
                <w:sz w:val="10"/>
                <w:szCs w:val="10"/>
              </w:rPr>
            </w:pPr>
          </w:p>
        </w:tc>
        <w:tc>
          <w:tcPr>
            <w:tcW w:w="4593" w:type="dxa"/>
            <w:vMerge/>
            <w:tcBorders>
              <w:top w:val="nil"/>
              <w:bottom w:val="nil"/>
            </w:tcBorders>
            <w:hideMark/>
          </w:tcPr>
          <w:p w14:paraId="0EC395A7" w14:textId="77777777" w:rsidR="00465776" w:rsidRPr="009468B6" w:rsidRDefault="00465776" w:rsidP="00613D10">
            <w:pPr>
              <w:pStyle w:val="Para"/>
              <w:rPr>
                <w:sz w:val="10"/>
                <w:szCs w:val="10"/>
              </w:rPr>
            </w:pPr>
          </w:p>
        </w:tc>
      </w:tr>
      <w:tr w:rsidR="00465776" w:rsidRPr="009468B6" w14:paraId="2CA2413B" w14:textId="77777777" w:rsidTr="00613D10">
        <w:tc>
          <w:tcPr>
            <w:tcW w:w="535" w:type="dxa"/>
            <w:vMerge w:val="restart"/>
            <w:tcBorders>
              <w:top w:val="nil"/>
              <w:bottom w:val="nil"/>
            </w:tcBorders>
            <w:hideMark/>
          </w:tcPr>
          <w:p w14:paraId="37645E17" w14:textId="77777777" w:rsidR="00465776" w:rsidRPr="009468B6" w:rsidRDefault="00465776" w:rsidP="00613D10">
            <w:pPr>
              <w:pStyle w:val="Para"/>
              <w:rPr>
                <w:sz w:val="10"/>
                <w:szCs w:val="10"/>
              </w:rPr>
            </w:pPr>
            <w:r w:rsidRPr="009468B6">
              <w:rPr>
                <w:sz w:val="10"/>
                <w:szCs w:val="10"/>
              </w:rPr>
              <w:t>Miura et al, 2008 [21]</w:t>
            </w:r>
          </w:p>
        </w:tc>
        <w:tc>
          <w:tcPr>
            <w:tcW w:w="720" w:type="dxa"/>
            <w:tcBorders>
              <w:top w:val="nil"/>
              <w:bottom w:val="nil"/>
            </w:tcBorders>
            <w:hideMark/>
          </w:tcPr>
          <w:p w14:paraId="207A6F20" w14:textId="77777777" w:rsidR="00465776" w:rsidRPr="009468B6" w:rsidRDefault="00465776" w:rsidP="00613D10">
            <w:pPr>
              <w:pStyle w:val="Para"/>
              <w:rPr>
                <w:sz w:val="10"/>
                <w:szCs w:val="10"/>
              </w:rPr>
            </w:pPr>
            <w:r w:rsidRPr="009468B6">
              <w:rPr>
                <w:sz w:val="10"/>
                <w:szCs w:val="10"/>
              </w:rPr>
              <w:t>IV methylprednisolone 30 mg/kg/day for 3 days</w:t>
            </w:r>
          </w:p>
        </w:tc>
        <w:tc>
          <w:tcPr>
            <w:tcW w:w="450" w:type="dxa"/>
            <w:tcBorders>
              <w:top w:val="nil"/>
              <w:bottom w:val="nil"/>
            </w:tcBorders>
            <w:hideMark/>
          </w:tcPr>
          <w:p w14:paraId="1405ED87" w14:textId="77777777" w:rsidR="00465776" w:rsidRPr="009468B6" w:rsidRDefault="00465776" w:rsidP="00613D10">
            <w:pPr>
              <w:pStyle w:val="Para"/>
              <w:rPr>
                <w:sz w:val="10"/>
                <w:szCs w:val="10"/>
              </w:rPr>
            </w:pPr>
            <w:r w:rsidRPr="009468B6">
              <w:rPr>
                <w:sz w:val="10"/>
                <w:szCs w:val="10"/>
              </w:rPr>
              <w:t>7</w:t>
            </w:r>
          </w:p>
        </w:tc>
        <w:tc>
          <w:tcPr>
            <w:tcW w:w="540" w:type="dxa"/>
            <w:vMerge w:val="restart"/>
            <w:tcBorders>
              <w:top w:val="nil"/>
              <w:bottom w:val="nil"/>
            </w:tcBorders>
            <w:hideMark/>
          </w:tcPr>
          <w:p w14:paraId="427611C9" w14:textId="77777777" w:rsidR="00465776" w:rsidRPr="009468B6" w:rsidRDefault="00465776" w:rsidP="00613D10">
            <w:pPr>
              <w:pStyle w:val="Para"/>
              <w:rPr>
                <w:sz w:val="10"/>
                <w:szCs w:val="10"/>
              </w:rPr>
            </w:pPr>
            <w:r w:rsidRPr="009468B6">
              <w:rPr>
                <w:sz w:val="10"/>
                <w:szCs w:val="10"/>
              </w:rPr>
              <w:t>Japan</w:t>
            </w:r>
          </w:p>
        </w:tc>
        <w:tc>
          <w:tcPr>
            <w:tcW w:w="540" w:type="dxa"/>
            <w:vMerge w:val="restart"/>
            <w:tcBorders>
              <w:top w:val="nil"/>
              <w:bottom w:val="nil"/>
            </w:tcBorders>
            <w:hideMark/>
          </w:tcPr>
          <w:p w14:paraId="46951945" w14:textId="77777777" w:rsidR="00465776" w:rsidRPr="009468B6" w:rsidRDefault="00465776" w:rsidP="00613D10">
            <w:pPr>
              <w:pStyle w:val="Para"/>
              <w:rPr>
                <w:sz w:val="10"/>
                <w:szCs w:val="10"/>
              </w:rPr>
            </w:pPr>
            <w:r w:rsidRPr="009468B6">
              <w:rPr>
                <w:sz w:val="10"/>
                <w:szCs w:val="10"/>
              </w:rPr>
              <w:t>RCT</w:t>
            </w:r>
          </w:p>
        </w:tc>
        <w:tc>
          <w:tcPr>
            <w:tcW w:w="900" w:type="dxa"/>
            <w:vMerge w:val="restart"/>
            <w:tcBorders>
              <w:top w:val="nil"/>
              <w:bottom w:val="nil"/>
            </w:tcBorders>
            <w:hideMark/>
          </w:tcPr>
          <w:p w14:paraId="60F75052" w14:textId="77777777" w:rsidR="00465776" w:rsidRPr="009468B6" w:rsidRDefault="00465776" w:rsidP="00613D10">
            <w:pPr>
              <w:pStyle w:val="Para"/>
              <w:rPr>
                <w:sz w:val="10"/>
                <w:szCs w:val="10"/>
              </w:rPr>
            </w:pPr>
            <w:r w:rsidRPr="009468B6">
              <w:rPr>
                <w:sz w:val="10"/>
                <w:szCs w:val="10"/>
              </w:rPr>
              <w:t>Tokyo Metropolitan Kiyose Children’s Hospital</w:t>
            </w:r>
          </w:p>
        </w:tc>
        <w:tc>
          <w:tcPr>
            <w:tcW w:w="630" w:type="dxa"/>
            <w:vMerge w:val="restart"/>
            <w:tcBorders>
              <w:top w:val="nil"/>
              <w:bottom w:val="nil"/>
            </w:tcBorders>
            <w:hideMark/>
          </w:tcPr>
          <w:p w14:paraId="0AD134FB" w14:textId="77777777" w:rsidR="00465776" w:rsidRPr="009468B6" w:rsidRDefault="00465776" w:rsidP="00613D10">
            <w:pPr>
              <w:pStyle w:val="Para"/>
              <w:rPr>
                <w:sz w:val="10"/>
                <w:szCs w:val="10"/>
              </w:rPr>
            </w:pPr>
            <w:r w:rsidRPr="009468B6">
              <w:rPr>
                <w:sz w:val="10"/>
                <w:szCs w:val="10"/>
              </w:rPr>
              <w:t>January 2001 – May 2003</w:t>
            </w:r>
          </w:p>
        </w:tc>
        <w:tc>
          <w:tcPr>
            <w:tcW w:w="720" w:type="dxa"/>
            <w:vMerge w:val="restart"/>
            <w:tcBorders>
              <w:top w:val="nil"/>
              <w:bottom w:val="nil"/>
            </w:tcBorders>
            <w:hideMark/>
          </w:tcPr>
          <w:p w14:paraId="16EA36D6" w14:textId="77777777" w:rsidR="00465776" w:rsidRPr="009468B6" w:rsidRDefault="00465776" w:rsidP="00613D10">
            <w:pPr>
              <w:pStyle w:val="Para"/>
              <w:rPr>
                <w:sz w:val="10"/>
                <w:szCs w:val="10"/>
              </w:rPr>
            </w:pPr>
            <w:r w:rsidRPr="009468B6">
              <w:rPr>
                <w:sz w:val="10"/>
                <w:szCs w:val="10"/>
              </w:rPr>
              <w:t>Established IVIG-resistant KD</w:t>
            </w:r>
          </w:p>
        </w:tc>
        <w:tc>
          <w:tcPr>
            <w:tcW w:w="720" w:type="dxa"/>
            <w:vMerge w:val="restart"/>
            <w:tcBorders>
              <w:top w:val="nil"/>
              <w:bottom w:val="nil"/>
            </w:tcBorders>
            <w:hideMark/>
          </w:tcPr>
          <w:p w14:paraId="32466551" w14:textId="77777777" w:rsidR="00465776" w:rsidRPr="009468B6" w:rsidRDefault="00465776" w:rsidP="00613D10">
            <w:pPr>
              <w:pStyle w:val="Para"/>
              <w:rPr>
                <w:sz w:val="10"/>
                <w:szCs w:val="10"/>
              </w:rPr>
            </w:pPr>
            <w:r w:rsidRPr="009468B6">
              <w:rPr>
                <w:sz w:val="10"/>
                <w:szCs w:val="10"/>
              </w:rPr>
              <w:t>NA</w:t>
            </w:r>
          </w:p>
        </w:tc>
        <w:tc>
          <w:tcPr>
            <w:tcW w:w="900" w:type="dxa"/>
            <w:vMerge w:val="restart"/>
            <w:tcBorders>
              <w:top w:val="nil"/>
              <w:bottom w:val="nil"/>
            </w:tcBorders>
            <w:hideMark/>
          </w:tcPr>
          <w:p w14:paraId="51A9A965" w14:textId="77777777" w:rsidR="00465776" w:rsidRPr="009468B6" w:rsidRDefault="00465776" w:rsidP="00613D10">
            <w:pPr>
              <w:pStyle w:val="Para"/>
              <w:rPr>
                <w:sz w:val="10"/>
                <w:szCs w:val="10"/>
              </w:rPr>
            </w:pPr>
            <w:r w:rsidRPr="009468B6">
              <w:rPr>
                <w:sz w:val="10"/>
                <w:szCs w:val="10"/>
              </w:rPr>
              <w:t>Failure to become afebrile after an initial single infusion of IVIG (2 g/kg over 24 h)</w:t>
            </w:r>
          </w:p>
        </w:tc>
        <w:tc>
          <w:tcPr>
            <w:tcW w:w="540" w:type="dxa"/>
            <w:vMerge w:val="restart"/>
            <w:tcBorders>
              <w:top w:val="nil"/>
              <w:bottom w:val="nil"/>
            </w:tcBorders>
            <w:hideMark/>
          </w:tcPr>
          <w:p w14:paraId="74D460C7" w14:textId="77777777" w:rsidR="00465776" w:rsidRPr="009468B6" w:rsidRDefault="00465776" w:rsidP="00613D10">
            <w:pPr>
              <w:pStyle w:val="Para"/>
              <w:rPr>
                <w:sz w:val="10"/>
                <w:szCs w:val="10"/>
              </w:rPr>
            </w:pPr>
            <w:r w:rsidRPr="009468B6">
              <w:rPr>
                <w:sz w:val="10"/>
                <w:szCs w:val="10"/>
              </w:rPr>
              <w:t>0.25</w:t>
            </w:r>
          </w:p>
        </w:tc>
        <w:tc>
          <w:tcPr>
            <w:tcW w:w="1440" w:type="dxa"/>
            <w:vMerge w:val="restart"/>
            <w:tcBorders>
              <w:top w:val="nil"/>
              <w:bottom w:val="nil"/>
            </w:tcBorders>
            <w:hideMark/>
          </w:tcPr>
          <w:p w14:paraId="1291B160" w14:textId="77777777" w:rsidR="00465776" w:rsidRPr="009468B6" w:rsidRDefault="00465776" w:rsidP="00613D10">
            <w:pPr>
              <w:pStyle w:val="Para"/>
              <w:rPr>
                <w:sz w:val="10"/>
                <w:szCs w:val="10"/>
              </w:rPr>
            </w:pPr>
            <w:r w:rsidRPr="009468B6">
              <w:rPr>
                <w:sz w:val="10"/>
                <w:szCs w:val="10"/>
              </w:rPr>
              <w:t>Patients with acute KD who failed to respond to an initial primary treatment of 2 g/kg IVIG infused over a 24-h period</w:t>
            </w:r>
          </w:p>
        </w:tc>
        <w:tc>
          <w:tcPr>
            <w:tcW w:w="4593" w:type="dxa"/>
            <w:vMerge w:val="restart"/>
            <w:tcBorders>
              <w:top w:val="nil"/>
              <w:bottom w:val="nil"/>
            </w:tcBorders>
            <w:hideMark/>
          </w:tcPr>
          <w:p w14:paraId="7A4E65BF" w14:textId="77777777" w:rsidR="00465776" w:rsidRPr="009468B6" w:rsidRDefault="00465776" w:rsidP="00613D10">
            <w:pPr>
              <w:pStyle w:val="Para"/>
              <w:rPr>
                <w:sz w:val="10"/>
                <w:szCs w:val="10"/>
              </w:rPr>
            </w:pPr>
            <w:r w:rsidRPr="009468B6">
              <w:rPr>
                <w:sz w:val="10"/>
                <w:szCs w:val="10"/>
              </w:rPr>
              <w:t>This prospective randomized study evaluated the clinical effects and cytokine profiles of IVMP therapy compared to a second dose of IVIG in children with IVIG-resistant KD. The findings revealed that IVMP induced a significantly faster initial suppression of fever and key inflammatory cytokines, particularly MCP-1 and TNF-α. However, these clinical and anti-inflammatory benefits were strictly transient; patients in the IVMP group subsequently experienced recurrent fevers and a rebound in cytokine levels, ultimately matching the IVIG group by day 4. Furthermore, the overall prevalence of coronary artery lesions was similar between both treatment arms, and IVMP patients experienced a significantly higher rate of adverse events, specifically bradycardia and hyperglycemia. Ultimately, due to the cytokine rebound effect and the lack of superior long-term coronary protection, the use of IVMP without a subsequent oral steroid taper is not recommended for initial IVIG resistance.</w:t>
            </w:r>
          </w:p>
        </w:tc>
      </w:tr>
      <w:tr w:rsidR="00465776" w:rsidRPr="009468B6" w14:paraId="76926498" w14:textId="77777777" w:rsidTr="00613D10">
        <w:tc>
          <w:tcPr>
            <w:tcW w:w="535" w:type="dxa"/>
            <w:vMerge/>
            <w:tcBorders>
              <w:top w:val="nil"/>
              <w:bottom w:val="nil"/>
            </w:tcBorders>
            <w:hideMark/>
          </w:tcPr>
          <w:p w14:paraId="67AD3D30" w14:textId="77777777" w:rsidR="00465776" w:rsidRPr="009468B6" w:rsidRDefault="00465776" w:rsidP="00613D10">
            <w:pPr>
              <w:pStyle w:val="Para"/>
              <w:rPr>
                <w:sz w:val="10"/>
                <w:szCs w:val="10"/>
              </w:rPr>
            </w:pPr>
          </w:p>
        </w:tc>
        <w:tc>
          <w:tcPr>
            <w:tcW w:w="720" w:type="dxa"/>
            <w:tcBorders>
              <w:top w:val="nil"/>
              <w:bottom w:val="nil"/>
            </w:tcBorders>
            <w:hideMark/>
          </w:tcPr>
          <w:p w14:paraId="7C114296" w14:textId="77777777" w:rsidR="00465776" w:rsidRPr="009468B6" w:rsidRDefault="00465776" w:rsidP="00613D10">
            <w:pPr>
              <w:pStyle w:val="Para"/>
              <w:rPr>
                <w:sz w:val="10"/>
                <w:szCs w:val="10"/>
              </w:rPr>
            </w:pPr>
            <w:r w:rsidRPr="009468B6">
              <w:rPr>
                <w:sz w:val="10"/>
                <w:szCs w:val="10"/>
              </w:rPr>
              <w:t>Additional IVIG 2 g/kg</w:t>
            </w:r>
          </w:p>
        </w:tc>
        <w:tc>
          <w:tcPr>
            <w:tcW w:w="450" w:type="dxa"/>
            <w:tcBorders>
              <w:top w:val="nil"/>
              <w:bottom w:val="nil"/>
            </w:tcBorders>
            <w:hideMark/>
          </w:tcPr>
          <w:p w14:paraId="3D3460C4" w14:textId="77777777" w:rsidR="00465776" w:rsidRPr="009468B6" w:rsidRDefault="00465776" w:rsidP="00613D10">
            <w:pPr>
              <w:pStyle w:val="Para"/>
              <w:rPr>
                <w:sz w:val="10"/>
                <w:szCs w:val="10"/>
              </w:rPr>
            </w:pPr>
            <w:r w:rsidRPr="009468B6">
              <w:rPr>
                <w:sz w:val="10"/>
                <w:szCs w:val="10"/>
              </w:rPr>
              <w:t>8</w:t>
            </w:r>
          </w:p>
        </w:tc>
        <w:tc>
          <w:tcPr>
            <w:tcW w:w="540" w:type="dxa"/>
            <w:vMerge/>
            <w:tcBorders>
              <w:top w:val="nil"/>
              <w:bottom w:val="nil"/>
            </w:tcBorders>
            <w:hideMark/>
          </w:tcPr>
          <w:p w14:paraId="1D7104D0" w14:textId="77777777" w:rsidR="00465776" w:rsidRPr="009468B6" w:rsidRDefault="00465776" w:rsidP="00613D10">
            <w:pPr>
              <w:pStyle w:val="Para"/>
              <w:rPr>
                <w:sz w:val="10"/>
                <w:szCs w:val="10"/>
              </w:rPr>
            </w:pPr>
          </w:p>
        </w:tc>
        <w:tc>
          <w:tcPr>
            <w:tcW w:w="540" w:type="dxa"/>
            <w:vMerge/>
            <w:tcBorders>
              <w:top w:val="nil"/>
              <w:bottom w:val="nil"/>
            </w:tcBorders>
            <w:hideMark/>
          </w:tcPr>
          <w:p w14:paraId="13D26F97" w14:textId="77777777" w:rsidR="00465776" w:rsidRPr="009468B6" w:rsidRDefault="00465776" w:rsidP="00613D10">
            <w:pPr>
              <w:pStyle w:val="Para"/>
              <w:rPr>
                <w:sz w:val="10"/>
                <w:szCs w:val="10"/>
              </w:rPr>
            </w:pPr>
          </w:p>
        </w:tc>
        <w:tc>
          <w:tcPr>
            <w:tcW w:w="900" w:type="dxa"/>
            <w:vMerge/>
            <w:tcBorders>
              <w:top w:val="nil"/>
              <w:bottom w:val="nil"/>
            </w:tcBorders>
            <w:hideMark/>
          </w:tcPr>
          <w:p w14:paraId="0B0FA709" w14:textId="77777777" w:rsidR="00465776" w:rsidRPr="009468B6" w:rsidRDefault="00465776" w:rsidP="00613D10">
            <w:pPr>
              <w:pStyle w:val="Para"/>
              <w:rPr>
                <w:sz w:val="10"/>
                <w:szCs w:val="10"/>
              </w:rPr>
            </w:pPr>
          </w:p>
        </w:tc>
        <w:tc>
          <w:tcPr>
            <w:tcW w:w="630" w:type="dxa"/>
            <w:vMerge/>
            <w:tcBorders>
              <w:top w:val="nil"/>
              <w:bottom w:val="nil"/>
            </w:tcBorders>
            <w:hideMark/>
          </w:tcPr>
          <w:p w14:paraId="7287BA11" w14:textId="77777777" w:rsidR="00465776" w:rsidRPr="009468B6" w:rsidRDefault="00465776" w:rsidP="00613D10">
            <w:pPr>
              <w:pStyle w:val="Para"/>
              <w:rPr>
                <w:sz w:val="10"/>
                <w:szCs w:val="10"/>
              </w:rPr>
            </w:pPr>
          </w:p>
        </w:tc>
        <w:tc>
          <w:tcPr>
            <w:tcW w:w="720" w:type="dxa"/>
            <w:vMerge/>
            <w:tcBorders>
              <w:top w:val="nil"/>
              <w:bottom w:val="nil"/>
            </w:tcBorders>
            <w:hideMark/>
          </w:tcPr>
          <w:p w14:paraId="5BFA080C" w14:textId="77777777" w:rsidR="00465776" w:rsidRPr="009468B6" w:rsidRDefault="00465776" w:rsidP="00613D10">
            <w:pPr>
              <w:pStyle w:val="Para"/>
              <w:rPr>
                <w:sz w:val="10"/>
                <w:szCs w:val="10"/>
              </w:rPr>
            </w:pPr>
          </w:p>
        </w:tc>
        <w:tc>
          <w:tcPr>
            <w:tcW w:w="720" w:type="dxa"/>
            <w:vMerge/>
            <w:tcBorders>
              <w:top w:val="nil"/>
              <w:bottom w:val="nil"/>
            </w:tcBorders>
            <w:hideMark/>
          </w:tcPr>
          <w:p w14:paraId="2213A787" w14:textId="77777777" w:rsidR="00465776" w:rsidRPr="009468B6" w:rsidRDefault="00465776" w:rsidP="00613D10">
            <w:pPr>
              <w:pStyle w:val="Para"/>
              <w:rPr>
                <w:sz w:val="10"/>
                <w:szCs w:val="10"/>
              </w:rPr>
            </w:pPr>
          </w:p>
        </w:tc>
        <w:tc>
          <w:tcPr>
            <w:tcW w:w="900" w:type="dxa"/>
            <w:vMerge/>
            <w:tcBorders>
              <w:top w:val="nil"/>
              <w:bottom w:val="nil"/>
            </w:tcBorders>
            <w:hideMark/>
          </w:tcPr>
          <w:p w14:paraId="670EA07C" w14:textId="77777777" w:rsidR="00465776" w:rsidRPr="009468B6" w:rsidRDefault="00465776" w:rsidP="00613D10">
            <w:pPr>
              <w:pStyle w:val="Para"/>
              <w:rPr>
                <w:sz w:val="10"/>
                <w:szCs w:val="10"/>
              </w:rPr>
            </w:pPr>
          </w:p>
        </w:tc>
        <w:tc>
          <w:tcPr>
            <w:tcW w:w="540" w:type="dxa"/>
            <w:vMerge/>
            <w:tcBorders>
              <w:top w:val="nil"/>
              <w:bottom w:val="nil"/>
            </w:tcBorders>
            <w:hideMark/>
          </w:tcPr>
          <w:p w14:paraId="372FA8F6" w14:textId="77777777" w:rsidR="00465776" w:rsidRPr="009468B6" w:rsidRDefault="00465776" w:rsidP="00613D10">
            <w:pPr>
              <w:pStyle w:val="Para"/>
              <w:rPr>
                <w:sz w:val="10"/>
                <w:szCs w:val="10"/>
              </w:rPr>
            </w:pPr>
          </w:p>
        </w:tc>
        <w:tc>
          <w:tcPr>
            <w:tcW w:w="1440" w:type="dxa"/>
            <w:vMerge/>
            <w:tcBorders>
              <w:top w:val="nil"/>
              <w:bottom w:val="nil"/>
            </w:tcBorders>
            <w:hideMark/>
          </w:tcPr>
          <w:p w14:paraId="3A71BF22" w14:textId="77777777" w:rsidR="00465776" w:rsidRPr="009468B6" w:rsidRDefault="00465776" w:rsidP="00613D10">
            <w:pPr>
              <w:pStyle w:val="Para"/>
              <w:rPr>
                <w:sz w:val="10"/>
                <w:szCs w:val="10"/>
              </w:rPr>
            </w:pPr>
          </w:p>
        </w:tc>
        <w:tc>
          <w:tcPr>
            <w:tcW w:w="4593" w:type="dxa"/>
            <w:vMerge/>
            <w:tcBorders>
              <w:top w:val="nil"/>
              <w:bottom w:val="nil"/>
            </w:tcBorders>
            <w:hideMark/>
          </w:tcPr>
          <w:p w14:paraId="38BE460E" w14:textId="77777777" w:rsidR="00465776" w:rsidRPr="009468B6" w:rsidRDefault="00465776" w:rsidP="00613D10">
            <w:pPr>
              <w:pStyle w:val="Para"/>
              <w:rPr>
                <w:sz w:val="10"/>
                <w:szCs w:val="10"/>
              </w:rPr>
            </w:pPr>
          </w:p>
        </w:tc>
      </w:tr>
      <w:tr w:rsidR="00465776" w:rsidRPr="009468B6" w14:paraId="1B9DFDDE" w14:textId="77777777" w:rsidTr="00613D10">
        <w:tc>
          <w:tcPr>
            <w:tcW w:w="535" w:type="dxa"/>
            <w:vMerge w:val="restart"/>
            <w:tcBorders>
              <w:top w:val="nil"/>
              <w:bottom w:val="nil"/>
            </w:tcBorders>
            <w:hideMark/>
          </w:tcPr>
          <w:p w14:paraId="692A0F6E" w14:textId="77777777" w:rsidR="00465776" w:rsidRPr="009468B6" w:rsidRDefault="00465776" w:rsidP="00613D10">
            <w:pPr>
              <w:pStyle w:val="Para"/>
              <w:rPr>
                <w:sz w:val="10"/>
                <w:szCs w:val="10"/>
              </w:rPr>
            </w:pPr>
            <w:r w:rsidRPr="009468B6">
              <w:rPr>
                <w:sz w:val="10"/>
                <w:szCs w:val="10"/>
              </w:rPr>
              <w:t>Miura et al, 2005 [20]</w:t>
            </w:r>
          </w:p>
        </w:tc>
        <w:tc>
          <w:tcPr>
            <w:tcW w:w="720" w:type="dxa"/>
            <w:tcBorders>
              <w:top w:val="nil"/>
              <w:bottom w:val="nil"/>
            </w:tcBorders>
            <w:hideMark/>
          </w:tcPr>
          <w:p w14:paraId="0D9EE4AD" w14:textId="77777777" w:rsidR="00465776" w:rsidRPr="009468B6" w:rsidRDefault="00465776" w:rsidP="00613D10">
            <w:pPr>
              <w:pStyle w:val="Para"/>
              <w:rPr>
                <w:sz w:val="10"/>
                <w:szCs w:val="10"/>
              </w:rPr>
            </w:pPr>
            <w:r w:rsidRPr="009468B6">
              <w:rPr>
                <w:sz w:val="10"/>
                <w:szCs w:val="10"/>
              </w:rPr>
              <w:t>Standard Tx + corticosteroids</w:t>
            </w:r>
          </w:p>
        </w:tc>
        <w:tc>
          <w:tcPr>
            <w:tcW w:w="450" w:type="dxa"/>
            <w:tcBorders>
              <w:top w:val="nil"/>
              <w:bottom w:val="nil"/>
            </w:tcBorders>
            <w:hideMark/>
          </w:tcPr>
          <w:p w14:paraId="23B7820A" w14:textId="77777777" w:rsidR="00465776" w:rsidRPr="009468B6" w:rsidRDefault="00465776" w:rsidP="00613D10">
            <w:pPr>
              <w:pStyle w:val="Para"/>
              <w:rPr>
                <w:sz w:val="10"/>
                <w:szCs w:val="10"/>
              </w:rPr>
            </w:pPr>
            <w:r w:rsidRPr="009468B6">
              <w:rPr>
                <w:sz w:val="10"/>
                <w:szCs w:val="10"/>
              </w:rPr>
              <w:t>11</w:t>
            </w:r>
          </w:p>
        </w:tc>
        <w:tc>
          <w:tcPr>
            <w:tcW w:w="540" w:type="dxa"/>
            <w:vMerge w:val="restart"/>
            <w:tcBorders>
              <w:top w:val="nil"/>
              <w:bottom w:val="nil"/>
            </w:tcBorders>
            <w:hideMark/>
          </w:tcPr>
          <w:p w14:paraId="52046E28" w14:textId="77777777" w:rsidR="00465776" w:rsidRPr="009468B6" w:rsidRDefault="00465776" w:rsidP="00613D10">
            <w:pPr>
              <w:pStyle w:val="Para"/>
              <w:rPr>
                <w:sz w:val="10"/>
                <w:szCs w:val="10"/>
              </w:rPr>
            </w:pPr>
            <w:r w:rsidRPr="009468B6">
              <w:rPr>
                <w:sz w:val="10"/>
                <w:szCs w:val="10"/>
              </w:rPr>
              <w:t>Japan</w:t>
            </w:r>
          </w:p>
        </w:tc>
        <w:tc>
          <w:tcPr>
            <w:tcW w:w="540" w:type="dxa"/>
            <w:vMerge w:val="restart"/>
            <w:tcBorders>
              <w:top w:val="nil"/>
              <w:bottom w:val="nil"/>
            </w:tcBorders>
            <w:hideMark/>
          </w:tcPr>
          <w:p w14:paraId="0F02DB09" w14:textId="77777777" w:rsidR="00465776" w:rsidRPr="009468B6" w:rsidRDefault="00465776" w:rsidP="00613D10">
            <w:pPr>
              <w:pStyle w:val="Para"/>
              <w:rPr>
                <w:sz w:val="10"/>
                <w:szCs w:val="10"/>
              </w:rPr>
            </w:pPr>
            <w:r w:rsidRPr="009468B6">
              <w:rPr>
                <w:sz w:val="10"/>
                <w:szCs w:val="10"/>
              </w:rPr>
              <w:t>RCT</w:t>
            </w:r>
          </w:p>
        </w:tc>
        <w:tc>
          <w:tcPr>
            <w:tcW w:w="900" w:type="dxa"/>
            <w:vMerge w:val="restart"/>
            <w:tcBorders>
              <w:top w:val="nil"/>
              <w:bottom w:val="nil"/>
            </w:tcBorders>
            <w:hideMark/>
          </w:tcPr>
          <w:p w14:paraId="7B99AE53" w14:textId="77777777" w:rsidR="00465776" w:rsidRPr="009468B6" w:rsidRDefault="00465776" w:rsidP="00613D10">
            <w:pPr>
              <w:pStyle w:val="Para"/>
              <w:rPr>
                <w:sz w:val="10"/>
                <w:szCs w:val="10"/>
              </w:rPr>
            </w:pPr>
            <w:r w:rsidRPr="009468B6">
              <w:rPr>
                <w:sz w:val="10"/>
                <w:szCs w:val="10"/>
              </w:rPr>
              <w:t>Tokyo Metropolitan Kiyose Children’s Hospital</w:t>
            </w:r>
          </w:p>
        </w:tc>
        <w:tc>
          <w:tcPr>
            <w:tcW w:w="630" w:type="dxa"/>
            <w:vMerge w:val="restart"/>
            <w:tcBorders>
              <w:top w:val="nil"/>
              <w:bottom w:val="nil"/>
            </w:tcBorders>
            <w:hideMark/>
          </w:tcPr>
          <w:p w14:paraId="51C19FFC" w14:textId="77777777" w:rsidR="00465776" w:rsidRPr="009468B6" w:rsidRDefault="00465776" w:rsidP="00613D10">
            <w:pPr>
              <w:pStyle w:val="Para"/>
              <w:rPr>
                <w:sz w:val="10"/>
                <w:szCs w:val="10"/>
              </w:rPr>
            </w:pPr>
            <w:r w:rsidRPr="009468B6">
              <w:rPr>
                <w:sz w:val="10"/>
                <w:szCs w:val="10"/>
              </w:rPr>
              <w:t>NA</w:t>
            </w:r>
          </w:p>
        </w:tc>
        <w:tc>
          <w:tcPr>
            <w:tcW w:w="720" w:type="dxa"/>
            <w:vMerge w:val="restart"/>
            <w:tcBorders>
              <w:top w:val="nil"/>
              <w:bottom w:val="nil"/>
            </w:tcBorders>
            <w:hideMark/>
          </w:tcPr>
          <w:p w14:paraId="0C236DE0" w14:textId="77777777" w:rsidR="00465776" w:rsidRPr="009468B6" w:rsidRDefault="00465776" w:rsidP="00613D10">
            <w:pPr>
              <w:pStyle w:val="Para"/>
              <w:rPr>
                <w:sz w:val="10"/>
                <w:szCs w:val="10"/>
              </w:rPr>
            </w:pPr>
            <w:r w:rsidRPr="009468B6">
              <w:rPr>
                <w:sz w:val="10"/>
                <w:szCs w:val="10"/>
              </w:rPr>
              <w:t>Established IVIG-resistant KD</w:t>
            </w:r>
          </w:p>
        </w:tc>
        <w:tc>
          <w:tcPr>
            <w:tcW w:w="720" w:type="dxa"/>
            <w:vMerge w:val="restart"/>
            <w:tcBorders>
              <w:top w:val="nil"/>
              <w:bottom w:val="nil"/>
            </w:tcBorders>
            <w:hideMark/>
          </w:tcPr>
          <w:p w14:paraId="463AF05C" w14:textId="77777777" w:rsidR="00465776" w:rsidRPr="009468B6" w:rsidRDefault="00465776" w:rsidP="00613D10">
            <w:pPr>
              <w:pStyle w:val="Para"/>
              <w:rPr>
                <w:sz w:val="10"/>
                <w:szCs w:val="10"/>
              </w:rPr>
            </w:pPr>
            <w:r w:rsidRPr="009468B6">
              <w:rPr>
                <w:sz w:val="10"/>
                <w:szCs w:val="10"/>
              </w:rPr>
              <w:t>NA</w:t>
            </w:r>
          </w:p>
        </w:tc>
        <w:tc>
          <w:tcPr>
            <w:tcW w:w="900" w:type="dxa"/>
            <w:vMerge w:val="restart"/>
            <w:tcBorders>
              <w:top w:val="nil"/>
              <w:bottom w:val="nil"/>
            </w:tcBorders>
            <w:hideMark/>
          </w:tcPr>
          <w:p w14:paraId="5E23C5EC" w14:textId="77777777" w:rsidR="00465776" w:rsidRPr="009468B6" w:rsidRDefault="00465776" w:rsidP="00613D10">
            <w:pPr>
              <w:pStyle w:val="Para"/>
              <w:rPr>
                <w:sz w:val="10"/>
                <w:szCs w:val="10"/>
              </w:rPr>
            </w:pPr>
            <w:r w:rsidRPr="009468B6">
              <w:rPr>
                <w:sz w:val="10"/>
                <w:szCs w:val="10"/>
              </w:rPr>
              <w:t>Persistent or recurrent fever (&gt; 37.5 °C) 48 h after a single initial infusion of IVIG (2 g/kg)</w:t>
            </w:r>
          </w:p>
        </w:tc>
        <w:tc>
          <w:tcPr>
            <w:tcW w:w="540" w:type="dxa"/>
            <w:vMerge w:val="restart"/>
            <w:tcBorders>
              <w:top w:val="nil"/>
              <w:bottom w:val="nil"/>
            </w:tcBorders>
            <w:hideMark/>
          </w:tcPr>
          <w:p w14:paraId="1D6CDA09" w14:textId="77777777" w:rsidR="00465776" w:rsidRPr="009468B6" w:rsidRDefault="00465776" w:rsidP="00613D10">
            <w:pPr>
              <w:pStyle w:val="Para"/>
              <w:rPr>
                <w:sz w:val="10"/>
                <w:szCs w:val="10"/>
              </w:rPr>
            </w:pPr>
            <w:r w:rsidRPr="009468B6">
              <w:rPr>
                <w:sz w:val="10"/>
                <w:szCs w:val="10"/>
              </w:rPr>
              <w:t>0.25</w:t>
            </w:r>
          </w:p>
        </w:tc>
        <w:tc>
          <w:tcPr>
            <w:tcW w:w="1440" w:type="dxa"/>
            <w:vMerge w:val="restart"/>
            <w:tcBorders>
              <w:top w:val="nil"/>
              <w:bottom w:val="nil"/>
            </w:tcBorders>
            <w:hideMark/>
          </w:tcPr>
          <w:p w14:paraId="73F542F0" w14:textId="77777777" w:rsidR="00465776" w:rsidRPr="009468B6" w:rsidRDefault="00465776" w:rsidP="00613D10">
            <w:pPr>
              <w:pStyle w:val="Para"/>
              <w:rPr>
                <w:sz w:val="10"/>
                <w:szCs w:val="10"/>
              </w:rPr>
            </w:pPr>
            <w:r w:rsidRPr="009468B6">
              <w:rPr>
                <w:sz w:val="10"/>
                <w:szCs w:val="10"/>
              </w:rPr>
              <w:t>KD patients demonstrating persistent or recurrent fever (&gt; 37.5 °C) 48 h after receiving an initial single infusion of 2 g/kg IVIG</w:t>
            </w:r>
          </w:p>
        </w:tc>
        <w:tc>
          <w:tcPr>
            <w:tcW w:w="4593" w:type="dxa"/>
            <w:vMerge w:val="restart"/>
            <w:tcBorders>
              <w:top w:val="nil"/>
              <w:bottom w:val="nil"/>
            </w:tcBorders>
            <w:hideMark/>
          </w:tcPr>
          <w:p w14:paraId="2315EFD2" w14:textId="77777777" w:rsidR="00465776" w:rsidRPr="009468B6" w:rsidRDefault="00465776" w:rsidP="00613D10">
            <w:pPr>
              <w:pStyle w:val="Para"/>
              <w:rPr>
                <w:sz w:val="10"/>
                <w:szCs w:val="10"/>
              </w:rPr>
            </w:pPr>
            <w:r w:rsidRPr="009468B6">
              <w:rPr>
                <w:sz w:val="10"/>
                <w:szCs w:val="10"/>
              </w:rPr>
              <w:t>This prematurely halted RCT evaluated the safety and efficacy of IVMP therapy vs. a second dose of IVIG in children with IVIG-resistant KD. The findings demonstrated that while IVMP provided a significantly faster antipyretic effect during the first 2 days, this benefit was strictly temporary, with fever recurrence rates equalizing between the arms by day 4. Coronary artery outcomes and lesion prevalence remained similar between the two treatment groups. Crucially, the study was halted early because the IVMP cohort experienced a significantly higher incidence of transient adverse events, particularly sinus bradycardia, hypothermia, and hyperglycemia. Because IVMP resulted in higher adverse effect rates and only temporary fever resolution without superior coronary protection, the authors strongly advise that patients refractory to initial IVIG should be treated with additional IVIG rather than pulse steroids.</w:t>
            </w:r>
          </w:p>
        </w:tc>
      </w:tr>
      <w:tr w:rsidR="00465776" w:rsidRPr="009468B6" w14:paraId="4E1058F7" w14:textId="77777777" w:rsidTr="00613D10">
        <w:tc>
          <w:tcPr>
            <w:tcW w:w="535" w:type="dxa"/>
            <w:vMerge/>
            <w:tcBorders>
              <w:top w:val="nil"/>
              <w:bottom w:val="nil"/>
            </w:tcBorders>
            <w:hideMark/>
          </w:tcPr>
          <w:p w14:paraId="1720F86E" w14:textId="77777777" w:rsidR="00465776" w:rsidRPr="009468B6" w:rsidRDefault="00465776" w:rsidP="00613D10">
            <w:pPr>
              <w:pStyle w:val="Para"/>
              <w:rPr>
                <w:sz w:val="10"/>
                <w:szCs w:val="10"/>
              </w:rPr>
            </w:pPr>
          </w:p>
        </w:tc>
        <w:tc>
          <w:tcPr>
            <w:tcW w:w="720" w:type="dxa"/>
            <w:tcBorders>
              <w:top w:val="nil"/>
              <w:bottom w:val="nil"/>
            </w:tcBorders>
            <w:hideMark/>
          </w:tcPr>
          <w:p w14:paraId="66E75213" w14:textId="77777777" w:rsidR="00465776" w:rsidRPr="009468B6" w:rsidRDefault="00465776" w:rsidP="00613D10">
            <w:pPr>
              <w:pStyle w:val="Para"/>
              <w:rPr>
                <w:sz w:val="10"/>
                <w:szCs w:val="10"/>
              </w:rPr>
            </w:pPr>
            <w:r w:rsidRPr="009468B6">
              <w:rPr>
                <w:sz w:val="10"/>
                <w:szCs w:val="10"/>
              </w:rPr>
              <w:t>Standard Tx</w:t>
            </w:r>
          </w:p>
        </w:tc>
        <w:tc>
          <w:tcPr>
            <w:tcW w:w="450" w:type="dxa"/>
            <w:tcBorders>
              <w:top w:val="nil"/>
              <w:bottom w:val="nil"/>
            </w:tcBorders>
            <w:hideMark/>
          </w:tcPr>
          <w:p w14:paraId="534492FF" w14:textId="77777777" w:rsidR="00465776" w:rsidRPr="009468B6" w:rsidRDefault="00465776" w:rsidP="00613D10">
            <w:pPr>
              <w:pStyle w:val="Para"/>
              <w:rPr>
                <w:sz w:val="10"/>
                <w:szCs w:val="10"/>
              </w:rPr>
            </w:pPr>
            <w:r w:rsidRPr="009468B6">
              <w:rPr>
                <w:sz w:val="10"/>
                <w:szCs w:val="10"/>
              </w:rPr>
              <w:t>11</w:t>
            </w:r>
          </w:p>
        </w:tc>
        <w:tc>
          <w:tcPr>
            <w:tcW w:w="540" w:type="dxa"/>
            <w:vMerge/>
            <w:tcBorders>
              <w:top w:val="nil"/>
              <w:bottom w:val="nil"/>
            </w:tcBorders>
            <w:hideMark/>
          </w:tcPr>
          <w:p w14:paraId="08C8104A" w14:textId="77777777" w:rsidR="00465776" w:rsidRPr="009468B6" w:rsidRDefault="00465776" w:rsidP="00613D10">
            <w:pPr>
              <w:pStyle w:val="Para"/>
              <w:rPr>
                <w:sz w:val="10"/>
                <w:szCs w:val="10"/>
              </w:rPr>
            </w:pPr>
          </w:p>
        </w:tc>
        <w:tc>
          <w:tcPr>
            <w:tcW w:w="540" w:type="dxa"/>
            <w:vMerge/>
            <w:tcBorders>
              <w:top w:val="nil"/>
              <w:bottom w:val="nil"/>
            </w:tcBorders>
            <w:hideMark/>
          </w:tcPr>
          <w:p w14:paraId="7E259D94" w14:textId="77777777" w:rsidR="00465776" w:rsidRPr="009468B6" w:rsidRDefault="00465776" w:rsidP="00613D10">
            <w:pPr>
              <w:pStyle w:val="Para"/>
              <w:rPr>
                <w:sz w:val="10"/>
                <w:szCs w:val="10"/>
              </w:rPr>
            </w:pPr>
          </w:p>
        </w:tc>
        <w:tc>
          <w:tcPr>
            <w:tcW w:w="900" w:type="dxa"/>
            <w:vMerge/>
            <w:tcBorders>
              <w:top w:val="nil"/>
              <w:bottom w:val="nil"/>
            </w:tcBorders>
            <w:hideMark/>
          </w:tcPr>
          <w:p w14:paraId="041B2789" w14:textId="77777777" w:rsidR="00465776" w:rsidRPr="009468B6" w:rsidRDefault="00465776" w:rsidP="00613D10">
            <w:pPr>
              <w:pStyle w:val="Para"/>
              <w:rPr>
                <w:sz w:val="10"/>
                <w:szCs w:val="10"/>
              </w:rPr>
            </w:pPr>
          </w:p>
        </w:tc>
        <w:tc>
          <w:tcPr>
            <w:tcW w:w="630" w:type="dxa"/>
            <w:vMerge/>
            <w:tcBorders>
              <w:top w:val="nil"/>
              <w:bottom w:val="nil"/>
            </w:tcBorders>
            <w:hideMark/>
          </w:tcPr>
          <w:p w14:paraId="20C8747C" w14:textId="77777777" w:rsidR="00465776" w:rsidRPr="009468B6" w:rsidRDefault="00465776" w:rsidP="00613D10">
            <w:pPr>
              <w:pStyle w:val="Para"/>
              <w:rPr>
                <w:sz w:val="10"/>
                <w:szCs w:val="10"/>
              </w:rPr>
            </w:pPr>
          </w:p>
        </w:tc>
        <w:tc>
          <w:tcPr>
            <w:tcW w:w="720" w:type="dxa"/>
            <w:vMerge/>
            <w:tcBorders>
              <w:top w:val="nil"/>
              <w:bottom w:val="nil"/>
            </w:tcBorders>
            <w:hideMark/>
          </w:tcPr>
          <w:p w14:paraId="452977FD" w14:textId="77777777" w:rsidR="00465776" w:rsidRPr="009468B6" w:rsidRDefault="00465776" w:rsidP="00613D10">
            <w:pPr>
              <w:pStyle w:val="Para"/>
              <w:rPr>
                <w:sz w:val="10"/>
                <w:szCs w:val="10"/>
              </w:rPr>
            </w:pPr>
          </w:p>
        </w:tc>
        <w:tc>
          <w:tcPr>
            <w:tcW w:w="720" w:type="dxa"/>
            <w:vMerge/>
            <w:tcBorders>
              <w:top w:val="nil"/>
              <w:bottom w:val="nil"/>
            </w:tcBorders>
            <w:hideMark/>
          </w:tcPr>
          <w:p w14:paraId="62ECEE90" w14:textId="77777777" w:rsidR="00465776" w:rsidRPr="009468B6" w:rsidRDefault="00465776" w:rsidP="00613D10">
            <w:pPr>
              <w:pStyle w:val="Para"/>
              <w:rPr>
                <w:sz w:val="10"/>
                <w:szCs w:val="10"/>
              </w:rPr>
            </w:pPr>
          </w:p>
        </w:tc>
        <w:tc>
          <w:tcPr>
            <w:tcW w:w="900" w:type="dxa"/>
            <w:vMerge/>
            <w:tcBorders>
              <w:top w:val="nil"/>
              <w:bottom w:val="nil"/>
            </w:tcBorders>
            <w:hideMark/>
          </w:tcPr>
          <w:p w14:paraId="3688F95B" w14:textId="77777777" w:rsidR="00465776" w:rsidRPr="009468B6" w:rsidRDefault="00465776" w:rsidP="00613D10">
            <w:pPr>
              <w:pStyle w:val="Para"/>
              <w:rPr>
                <w:sz w:val="10"/>
                <w:szCs w:val="10"/>
              </w:rPr>
            </w:pPr>
          </w:p>
        </w:tc>
        <w:tc>
          <w:tcPr>
            <w:tcW w:w="540" w:type="dxa"/>
            <w:vMerge/>
            <w:tcBorders>
              <w:top w:val="nil"/>
              <w:bottom w:val="nil"/>
            </w:tcBorders>
            <w:hideMark/>
          </w:tcPr>
          <w:p w14:paraId="3FD2F93E" w14:textId="77777777" w:rsidR="00465776" w:rsidRPr="009468B6" w:rsidRDefault="00465776" w:rsidP="00613D10">
            <w:pPr>
              <w:pStyle w:val="Para"/>
              <w:rPr>
                <w:sz w:val="10"/>
                <w:szCs w:val="10"/>
              </w:rPr>
            </w:pPr>
          </w:p>
        </w:tc>
        <w:tc>
          <w:tcPr>
            <w:tcW w:w="1440" w:type="dxa"/>
            <w:vMerge/>
            <w:tcBorders>
              <w:top w:val="nil"/>
              <w:bottom w:val="nil"/>
            </w:tcBorders>
            <w:hideMark/>
          </w:tcPr>
          <w:p w14:paraId="1BB0898E" w14:textId="77777777" w:rsidR="00465776" w:rsidRPr="009468B6" w:rsidRDefault="00465776" w:rsidP="00613D10">
            <w:pPr>
              <w:pStyle w:val="Para"/>
              <w:rPr>
                <w:sz w:val="10"/>
                <w:szCs w:val="10"/>
              </w:rPr>
            </w:pPr>
          </w:p>
        </w:tc>
        <w:tc>
          <w:tcPr>
            <w:tcW w:w="4593" w:type="dxa"/>
            <w:vMerge/>
            <w:tcBorders>
              <w:top w:val="nil"/>
              <w:bottom w:val="nil"/>
            </w:tcBorders>
            <w:hideMark/>
          </w:tcPr>
          <w:p w14:paraId="5E99D1BE" w14:textId="77777777" w:rsidR="00465776" w:rsidRPr="009468B6" w:rsidRDefault="00465776" w:rsidP="00613D10">
            <w:pPr>
              <w:pStyle w:val="Para"/>
              <w:rPr>
                <w:sz w:val="10"/>
                <w:szCs w:val="10"/>
              </w:rPr>
            </w:pPr>
          </w:p>
        </w:tc>
      </w:tr>
      <w:tr w:rsidR="00465776" w:rsidRPr="009468B6" w14:paraId="279E4009" w14:textId="77777777" w:rsidTr="00613D10">
        <w:tc>
          <w:tcPr>
            <w:tcW w:w="535" w:type="dxa"/>
            <w:vMerge w:val="restart"/>
            <w:tcBorders>
              <w:top w:val="nil"/>
            </w:tcBorders>
            <w:hideMark/>
          </w:tcPr>
          <w:p w14:paraId="6431C7A2" w14:textId="77777777" w:rsidR="00465776" w:rsidRPr="009468B6" w:rsidRDefault="00465776" w:rsidP="00613D10">
            <w:pPr>
              <w:pStyle w:val="Para"/>
              <w:rPr>
                <w:sz w:val="10"/>
                <w:szCs w:val="10"/>
              </w:rPr>
            </w:pPr>
            <w:r w:rsidRPr="009468B6">
              <w:rPr>
                <w:sz w:val="10"/>
                <w:szCs w:val="10"/>
              </w:rPr>
              <w:t>Okada et al, 2003 [13]</w:t>
            </w:r>
          </w:p>
        </w:tc>
        <w:tc>
          <w:tcPr>
            <w:tcW w:w="720" w:type="dxa"/>
            <w:tcBorders>
              <w:top w:val="nil"/>
            </w:tcBorders>
            <w:hideMark/>
          </w:tcPr>
          <w:p w14:paraId="64C46BC3" w14:textId="77777777" w:rsidR="00465776" w:rsidRPr="009468B6" w:rsidRDefault="00465776" w:rsidP="00613D10">
            <w:pPr>
              <w:pStyle w:val="Para"/>
              <w:rPr>
                <w:sz w:val="10"/>
                <w:szCs w:val="10"/>
              </w:rPr>
            </w:pPr>
            <w:r w:rsidRPr="009468B6">
              <w:rPr>
                <w:sz w:val="10"/>
                <w:szCs w:val="10"/>
              </w:rPr>
              <w:t>Standard Tx + corticosteroids</w:t>
            </w:r>
          </w:p>
        </w:tc>
        <w:tc>
          <w:tcPr>
            <w:tcW w:w="450" w:type="dxa"/>
            <w:tcBorders>
              <w:top w:val="nil"/>
            </w:tcBorders>
            <w:hideMark/>
          </w:tcPr>
          <w:p w14:paraId="5E6716D7" w14:textId="77777777" w:rsidR="00465776" w:rsidRPr="009468B6" w:rsidRDefault="00465776" w:rsidP="00613D10">
            <w:pPr>
              <w:pStyle w:val="Para"/>
              <w:rPr>
                <w:sz w:val="10"/>
                <w:szCs w:val="10"/>
              </w:rPr>
            </w:pPr>
            <w:r w:rsidRPr="009468B6">
              <w:rPr>
                <w:sz w:val="10"/>
                <w:szCs w:val="10"/>
              </w:rPr>
              <w:t>14</w:t>
            </w:r>
          </w:p>
        </w:tc>
        <w:tc>
          <w:tcPr>
            <w:tcW w:w="540" w:type="dxa"/>
            <w:vMerge w:val="restart"/>
            <w:tcBorders>
              <w:top w:val="nil"/>
            </w:tcBorders>
            <w:hideMark/>
          </w:tcPr>
          <w:p w14:paraId="33E431BD" w14:textId="77777777" w:rsidR="00465776" w:rsidRPr="009468B6" w:rsidRDefault="00465776" w:rsidP="00613D10">
            <w:pPr>
              <w:pStyle w:val="Para"/>
              <w:rPr>
                <w:sz w:val="10"/>
                <w:szCs w:val="10"/>
              </w:rPr>
            </w:pPr>
            <w:r w:rsidRPr="009468B6">
              <w:rPr>
                <w:sz w:val="10"/>
                <w:szCs w:val="10"/>
              </w:rPr>
              <w:t>Japan</w:t>
            </w:r>
          </w:p>
        </w:tc>
        <w:tc>
          <w:tcPr>
            <w:tcW w:w="540" w:type="dxa"/>
            <w:vMerge w:val="restart"/>
            <w:tcBorders>
              <w:top w:val="nil"/>
            </w:tcBorders>
            <w:hideMark/>
          </w:tcPr>
          <w:p w14:paraId="5454EE42" w14:textId="77777777" w:rsidR="00465776" w:rsidRPr="009468B6" w:rsidRDefault="00465776" w:rsidP="00613D10">
            <w:pPr>
              <w:pStyle w:val="Para"/>
              <w:rPr>
                <w:sz w:val="10"/>
                <w:szCs w:val="10"/>
              </w:rPr>
            </w:pPr>
            <w:r w:rsidRPr="009468B6">
              <w:rPr>
                <w:sz w:val="10"/>
                <w:szCs w:val="10"/>
              </w:rPr>
              <w:t>RCT</w:t>
            </w:r>
          </w:p>
        </w:tc>
        <w:tc>
          <w:tcPr>
            <w:tcW w:w="900" w:type="dxa"/>
            <w:vMerge w:val="restart"/>
            <w:tcBorders>
              <w:top w:val="nil"/>
            </w:tcBorders>
            <w:hideMark/>
          </w:tcPr>
          <w:p w14:paraId="59454892" w14:textId="77777777" w:rsidR="00465776" w:rsidRPr="009468B6" w:rsidRDefault="00465776" w:rsidP="00613D10">
            <w:pPr>
              <w:pStyle w:val="Para"/>
              <w:rPr>
                <w:sz w:val="10"/>
                <w:szCs w:val="10"/>
              </w:rPr>
            </w:pPr>
            <w:r w:rsidRPr="009468B6">
              <w:rPr>
                <w:sz w:val="10"/>
                <w:szCs w:val="10"/>
              </w:rPr>
              <w:t>Gunma Kawasaki Disease Study Group (9 medical institutes)</w:t>
            </w:r>
          </w:p>
        </w:tc>
        <w:tc>
          <w:tcPr>
            <w:tcW w:w="630" w:type="dxa"/>
            <w:vMerge w:val="restart"/>
            <w:tcBorders>
              <w:top w:val="nil"/>
            </w:tcBorders>
            <w:hideMark/>
          </w:tcPr>
          <w:p w14:paraId="51FDE6C6" w14:textId="77777777" w:rsidR="00465776" w:rsidRPr="009468B6" w:rsidRDefault="00465776" w:rsidP="00613D10">
            <w:pPr>
              <w:pStyle w:val="Para"/>
              <w:rPr>
                <w:sz w:val="10"/>
                <w:szCs w:val="10"/>
              </w:rPr>
            </w:pPr>
            <w:r w:rsidRPr="009468B6">
              <w:rPr>
                <w:sz w:val="10"/>
                <w:szCs w:val="10"/>
              </w:rPr>
              <w:t>June 2001 – May 2002</w:t>
            </w:r>
          </w:p>
        </w:tc>
        <w:tc>
          <w:tcPr>
            <w:tcW w:w="720" w:type="dxa"/>
            <w:vMerge w:val="restart"/>
            <w:tcBorders>
              <w:top w:val="nil"/>
            </w:tcBorders>
            <w:hideMark/>
          </w:tcPr>
          <w:p w14:paraId="148B1CB0" w14:textId="77777777" w:rsidR="00465776" w:rsidRPr="009468B6" w:rsidRDefault="00465776" w:rsidP="00613D10">
            <w:pPr>
              <w:pStyle w:val="Para"/>
              <w:rPr>
                <w:sz w:val="10"/>
                <w:szCs w:val="10"/>
              </w:rPr>
            </w:pPr>
            <w:r w:rsidRPr="009468B6">
              <w:rPr>
                <w:sz w:val="10"/>
                <w:szCs w:val="10"/>
              </w:rPr>
              <w:t>General acute KD</w:t>
            </w:r>
          </w:p>
        </w:tc>
        <w:tc>
          <w:tcPr>
            <w:tcW w:w="720" w:type="dxa"/>
            <w:vMerge w:val="restart"/>
            <w:tcBorders>
              <w:top w:val="nil"/>
            </w:tcBorders>
            <w:hideMark/>
          </w:tcPr>
          <w:p w14:paraId="37D84ED9" w14:textId="77777777" w:rsidR="00465776" w:rsidRPr="009468B6" w:rsidRDefault="00465776" w:rsidP="00613D10">
            <w:pPr>
              <w:pStyle w:val="Para"/>
              <w:rPr>
                <w:sz w:val="10"/>
                <w:szCs w:val="10"/>
              </w:rPr>
            </w:pPr>
            <w:r w:rsidRPr="009468B6">
              <w:rPr>
                <w:sz w:val="10"/>
                <w:szCs w:val="10"/>
              </w:rPr>
              <w:t>No</w:t>
            </w:r>
          </w:p>
        </w:tc>
        <w:tc>
          <w:tcPr>
            <w:tcW w:w="900" w:type="dxa"/>
            <w:vMerge w:val="restart"/>
            <w:tcBorders>
              <w:top w:val="nil"/>
            </w:tcBorders>
            <w:hideMark/>
          </w:tcPr>
          <w:p w14:paraId="0055BC8B" w14:textId="77777777" w:rsidR="00465776" w:rsidRPr="009468B6" w:rsidRDefault="00465776" w:rsidP="00613D10">
            <w:pPr>
              <w:pStyle w:val="Para"/>
              <w:rPr>
                <w:sz w:val="10"/>
                <w:szCs w:val="10"/>
              </w:rPr>
            </w:pPr>
            <w:r w:rsidRPr="009468B6">
              <w:rPr>
                <w:sz w:val="10"/>
                <w:szCs w:val="10"/>
              </w:rPr>
              <w:t>NA</w:t>
            </w:r>
          </w:p>
        </w:tc>
        <w:tc>
          <w:tcPr>
            <w:tcW w:w="540" w:type="dxa"/>
            <w:vMerge w:val="restart"/>
            <w:tcBorders>
              <w:top w:val="nil"/>
            </w:tcBorders>
            <w:hideMark/>
          </w:tcPr>
          <w:p w14:paraId="742ECE93" w14:textId="77777777" w:rsidR="00465776" w:rsidRPr="009468B6" w:rsidRDefault="00465776" w:rsidP="00613D10">
            <w:pPr>
              <w:pStyle w:val="Para"/>
              <w:rPr>
                <w:sz w:val="10"/>
                <w:szCs w:val="10"/>
              </w:rPr>
            </w:pPr>
            <w:r w:rsidRPr="009468B6">
              <w:rPr>
                <w:sz w:val="10"/>
                <w:szCs w:val="10"/>
              </w:rPr>
              <w:t>1</w:t>
            </w:r>
          </w:p>
        </w:tc>
        <w:tc>
          <w:tcPr>
            <w:tcW w:w="1440" w:type="dxa"/>
            <w:vMerge w:val="restart"/>
            <w:tcBorders>
              <w:top w:val="nil"/>
            </w:tcBorders>
            <w:hideMark/>
          </w:tcPr>
          <w:p w14:paraId="42B7D271" w14:textId="77777777" w:rsidR="00465776" w:rsidRPr="009468B6" w:rsidRDefault="00465776" w:rsidP="00613D10">
            <w:pPr>
              <w:pStyle w:val="Para"/>
              <w:rPr>
                <w:sz w:val="10"/>
                <w:szCs w:val="10"/>
              </w:rPr>
            </w:pPr>
            <w:r w:rsidRPr="009468B6">
              <w:rPr>
                <w:sz w:val="10"/>
                <w:szCs w:val="10"/>
              </w:rPr>
              <w:t>Patients fulfilling standard diagnostic criteria for KD (at least five typical symptoms) who were enrolled within 9 days of illness onset (defining the first day of fever as day 1)</w:t>
            </w:r>
          </w:p>
        </w:tc>
        <w:tc>
          <w:tcPr>
            <w:tcW w:w="4593" w:type="dxa"/>
            <w:vMerge w:val="restart"/>
            <w:tcBorders>
              <w:top w:val="nil"/>
            </w:tcBorders>
            <w:hideMark/>
          </w:tcPr>
          <w:p w14:paraId="211116A3" w14:textId="77777777" w:rsidR="00465776" w:rsidRPr="009468B6" w:rsidRDefault="00465776" w:rsidP="00613D10">
            <w:pPr>
              <w:pStyle w:val="Para"/>
              <w:rPr>
                <w:sz w:val="10"/>
                <w:szCs w:val="10"/>
              </w:rPr>
            </w:pPr>
            <w:r w:rsidRPr="009468B6">
              <w:rPr>
                <w:sz w:val="10"/>
                <w:szCs w:val="10"/>
              </w:rPr>
              <w:t>This multicenter RCT evaluated the efficacy of adding corticosteroids to standard IV gamma globulin (IVGG) therapy for children in the acute phase of KD. The combination therapy demonstrated significantly faster clinical recovery, evidenced by a much shorter duration of fever (0.3 vs. 2.9 days) and a more rapid normalization of CRP levels compared to the standard IVGG-alone group. Furthermore, adjunctive corticosteroids successfully induced a rapid and significant reduction in circulating inflammatory cytokines (such as IL-2, IL-6, IL-8, and IL-10) within 24 h of administration—an anti-inflammatory effect that IVGG alone failed to achieve. The safety profile was favorable, with no adverse reactions attributed to the steroid treatment, and no patients in either cohort developed CAA. Ultimately, these findings indicate that the early addition of corticosteroids safely downregulates systemic cytokine cascades and accelerates clinical improvement in general KD populations.</w:t>
            </w:r>
          </w:p>
        </w:tc>
      </w:tr>
      <w:tr w:rsidR="00465776" w:rsidRPr="009468B6" w14:paraId="61DC766D" w14:textId="77777777" w:rsidTr="00613D10">
        <w:tc>
          <w:tcPr>
            <w:tcW w:w="535" w:type="dxa"/>
            <w:vMerge/>
            <w:hideMark/>
          </w:tcPr>
          <w:p w14:paraId="7D0B646B" w14:textId="77777777" w:rsidR="00465776" w:rsidRPr="009468B6" w:rsidRDefault="00465776" w:rsidP="00613D10">
            <w:pPr>
              <w:pStyle w:val="Para"/>
              <w:rPr>
                <w:sz w:val="10"/>
                <w:szCs w:val="10"/>
              </w:rPr>
            </w:pPr>
          </w:p>
        </w:tc>
        <w:tc>
          <w:tcPr>
            <w:tcW w:w="720" w:type="dxa"/>
            <w:hideMark/>
          </w:tcPr>
          <w:p w14:paraId="39186431" w14:textId="77777777" w:rsidR="00465776" w:rsidRPr="009468B6" w:rsidRDefault="00465776" w:rsidP="00613D10">
            <w:pPr>
              <w:pStyle w:val="Para"/>
              <w:rPr>
                <w:sz w:val="10"/>
                <w:szCs w:val="10"/>
              </w:rPr>
            </w:pPr>
            <w:r w:rsidRPr="009468B6">
              <w:rPr>
                <w:sz w:val="10"/>
                <w:szCs w:val="10"/>
              </w:rPr>
              <w:t xml:space="preserve">Standard Tx </w:t>
            </w:r>
          </w:p>
        </w:tc>
        <w:tc>
          <w:tcPr>
            <w:tcW w:w="450" w:type="dxa"/>
            <w:hideMark/>
          </w:tcPr>
          <w:p w14:paraId="77C8876F" w14:textId="77777777" w:rsidR="00465776" w:rsidRPr="009468B6" w:rsidRDefault="00465776" w:rsidP="00613D10">
            <w:pPr>
              <w:pStyle w:val="Para"/>
              <w:rPr>
                <w:sz w:val="10"/>
                <w:szCs w:val="10"/>
              </w:rPr>
            </w:pPr>
            <w:r w:rsidRPr="009468B6">
              <w:rPr>
                <w:sz w:val="10"/>
                <w:szCs w:val="10"/>
              </w:rPr>
              <w:t>18</w:t>
            </w:r>
          </w:p>
        </w:tc>
        <w:tc>
          <w:tcPr>
            <w:tcW w:w="540" w:type="dxa"/>
            <w:vMerge/>
            <w:hideMark/>
          </w:tcPr>
          <w:p w14:paraId="6300B325" w14:textId="77777777" w:rsidR="00465776" w:rsidRPr="009468B6" w:rsidRDefault="00465776" w:rsidP="00613D10">
            <w:pPr>
              <w:pStyle w:val="Para"/>
              <w:rPr>
                <w:sz w:val="10"/>
                <w:szCs w:val="10"/>
              </w:rPr>
            </w:pPr>
          </w:p>
        </w:tc>
        <w:tc>
          <w:tcPr>
            <w:tcW w:w="540" w:type="dxa"/>
            <w:vMerge/>
            <w:hideMark/>
          </w:tcPr>
          <w:p w14:paraId="2CE57C2B" w14:textId="77777777" w:rsidR="00465776" w:rsidRPr="009468B6" w:rsidRDefault="00465776" w:rsidP="00613D10">
            <w:pPr>
              <w:pStyle w:val="Para"/>
              <w:rPr>
                <w:sz w:val="10"/>
                <w:szCs w:val="10"/>
              </w:rPr>
            </w:pPr>
          </w:p>
        </w:tc>
        <w:tc>
          <w:tcPr>
            <w:tcW w:w="900" w:type="dxa"/>
            <w:vMerge/>
            <w:hideMark/>
          </w:tcPr>
          <w:p w14:paraId="7AD93C68" w14:textId="77777777" w:rsidR="00465776" w:rsidRPr="009468B6" w:rsidRDefault="00465776" w:rsidP="00613D10">
            <w:pPr>
              <w:pStyle w:val="Para"/>
              <w:rPr>
                <w:sz w:val="10"/>
                <w:szCs w:val="10"/>
              </w:rPr>
            </w:pPr>
          </w:p>
        </w:tc>
        <w:tc>
          <w:tcPr>
            <w:tcW w:w="630" w:type="dxa"/>
            <w:vMerge/>
            <w:hideMark/>
          </w:tcPr>
          <w:p w14:paraId="7AEF6A39" w14:textId="77777777" w:rsidR="00465776" w:rsidRPr="009468B6" w:rsidRDefault="00465776" w:rsidP="00613D10">
            <w:pPr>
              <w:pStyle w:val="Para"/>
              <w:rPr>
                <w:sz w:val="10"/>
                <w:szCs w:val="10"/>
              </w:rPr>
            </w:pPr>
          </w:p>
        </w:tc>
        <w:tc>
          <w:tcPr>
            <w:tcW w:w="720" w:type="dxa"/>
            <w:vMerge/>
            <w:hideMark/>
          </w:tcPr>
          <w:p w14:paraId="4DCB0411" w14:textId="77777777" w:rsidR="00465776" w:rsidRPr="009468B6" w:rsidRDefault="00465776" w:rsidP="00613D10">
            <w:pPr>
              <w:pStyle w:val="Para"/>
              <w:rPr>
                <w:sz w:val="10"/>
                <w:szCs w:val="10"/>
              </w:rPr>
            </w:pPr>
          </w:p>
        </w:tc>
        <w:tc>
          <w:tcPr>
            <w:tcW w:w="720" w:type="dxa"/>
            <w:vMerge/>
            <w:hideMark/>
          </w:tcPr>
          <w:p w14:paraId="0067E7A8" w14:textId="77777777" w:rsidR="00465776" w:rsidRPr="009468B6" w:rsidRDefault="00465776" w:rsidP="00613D10">
            <w:pPr>
              <w:pStyle w:val="Para"/>
              <w:rPr>
                <w:sz w:val="10"/>
                <w:szCs w:val="10"/>
              </w:rPr>
            </w:pPr>
          </w:p>
        </w:tc>
        <w:tc>
          <w:tcPr>
            <w:tcW w:w="900" w:type="dxa"/>
            <w:vMerge/>
            <w:hideMark/>
          </w:tcPr>
          <w:p w14:paraId="2D2EC597" w14:textId="77777777" w:rsidR="00465776" w:rsidRPr="009468B6" w:rsidRDefault="00465776" w:rsidP="00613D10">
            <w:pPr>
              <w:pStyle w:val="Para"/>
              <w:rPr>
                <w:sz w:val="10"/>
                <w:szCs w:val="10"/>
              </w:rPr>
            </w:pPr>
          </w:p>
        </w:tc>
        <w:tc>
          <w:tcPr>
            <w:tcW w:w="540" w:type="dxa"/>
            <w:vMerge/>
            <w:hideMark/>
          </w:tcPr>
          <w:p w14:paraId="765EF61D" w14:textId="77777777" w:rsidR="00465776" w:rsidRPr="009468B6" w:rsidRDefault="00465776" w:rsidP="00613D10">
            <w:pPr>
              <w:pStyle w:val="Para"/>
              <w:rPr>
                <w:sz w:val="10"/>
                <w:szCs w:val="10"/>
              </w:rPr>
            </w:pPr>
          </w:p>
        </w:tc>
        <w:tc>
          <w:tcPr>
            <w:tcW w:w="1440" w:type="dxa"/>
            <w:vMerge/>
            <w:hideMark/>
          </w:tcPr>
          <w:p w14:paraId="3414B0F8" w14:textId="77777777" w:rsidR="00465776" w:rsidRPr="009468B6" w:rsidRDefault="00465776" w:rsidP="00613D10">
            <w:pPr>
              <w:pStyle w:val="Para"/>
              <w:rPr>
                <w:sz w:val="10"/>
                <w:szCs w:val="10"/>
              </w:rPr>
            </w:pPr>
          </w:p>
        </w:tc>
        <w:tc>
          <w:tcPr>
            <w:tcW w:w="4593" w:type="dxa"/>
            <w:vMerge/>
            <w:hideMark/>
          </w:tcPr>
          <w:p w14:paraId="18D5EC71" w14:textId="77777777" w:rsidR="00465776" w:rsidRPr="009468B6" w:rsidRDefault="00465776" w:rsidP="00613D10">
            <w:pPr>
              <w:pStyle w:val="Para"/>
              <w:rPr>
                <w:sz w:val="10"/>
                <w:szCs w:val="10"/>
              </w:rPr>
            </w:pPr>
          </w:p>
        </w:tc>
      </w:tr>
    </w:tbl>
    <w:p w14:paraId="61B82975" w14:textId="77777777" w:rsidR="00465776" w:rsidRPr="009468B6" w:rsidRDefault="00465776" w:rsidP="00465776">
      <w:pPr>
        <w:pStyle w:val="TableFootnote"/>
      </w:pPr>
      <w:r w:rsidRPr="009468B6">
        <w:t>IVIG: intravenous immunoglobulin; KD: Kawasaki disease; RCT: randomized controlled trial; Tx: treatment; CAA: coronary artery abnormalities; IVMP: intravenous methylprednisolone pulse; MPT: methylprednisolone pulse therapy; CRP: C-reactive protein; ESR: erythrocyte sedimentation rate; AHA: American Heart Association; IL: interleukin; TNF-α: tumor necrosis factor alpha; MCP-1: monocyte chemoattractant protein-1; NA: not available/not applicable; IV: intravenous.</w:t>
      </w:r>
    </w:p>
    <w:p w14:paraId="03AB9B28" w14:textId="77777777" w:rsidR="0067415F" w:rsidRDefault="0067415F">
      <w:pPr>
        <w:rPr>
          <w:rFonts w:eastAsia="DengXian"/>
          <w:lang w:eastAsia="zh-CN"/>
        </w:rPr>
      </w:pPr>
    </w:p>
    <w:p w14:paraId="2EE0F20D" w14:textId="77777777" w:rsidR="00F71149" w:rsidRDefault="00F71149">
      <w:pPr>
        <w:rPr>
          <w:rFonts w:eastAsia="DengXian"/>
          <w:lang w:eastAsia="zh-CN"/>
        </w:rPr>
      </w:pPr>
    </w:p>
    <w:p w14:paraId="089CA903" w14:textId="77777777" w:rsidR="00F71149" w:rsidRPr="009468B6" w:rsidRDefault="00F71149" w:rsidP="00F71149">
      <w:pPr>
        <w:pStyle w:val="HeadA"/>
      </w:pPr>
      <w:r w:rsidRPr="009468B6">
        <w:t>References</w:t>
      </w:r>
    </w:p>
    <w:p w14:paraId="7D0C838B" w14:textId="77777777" w:rsidR="00F71149" w:rsidRPr="009468B6" w:rsidRDefault="00F71149" w:rsidP="00F71149">
      <w:pPr>
        <w:pStyle w:val="Reference"/>
        <w:rPr>
          <w:lang w:eastAsia="zh-CN"/>
        </w:rPr>
      </w:pPr>
      <w:r>
        <w:rPr>
          <w:lang w:eastAsia="zh-CN"/>
        </w:rPr>
        <w:t xml:space="preserve">1. </w:t>
      </w:r>
      <w:r w:rsidRPr="009468B6">
        <w:rPr>
          <w:lang w:eastAsia="zh-CN"/>
        </w:rPr>
        <w:tab/>
        <w:t>McCrindle BW, Rowley AH, Newburger JW, Burns JC, Bolger AF, Gewitz M, Baker AL, et al. Diagnosis, treatment, and long-term management of Kawasaki disease: a scientific statement for health professionals from the American Heart Association. Circulation. 2017;135(17):e927-e999.</w:t>
      </w:r>
      <w:r w:rsidRPr="009468B6">
        <w:rPr>
          <w:lang w:eastAsia="zh-CN"/>
        </w:rPr>
        <w:br/>
        <w:t>doi:10.1161/CIR.0000000000000484</w:t>
      </w:r>
      <w:r w:rsidRPr="009468B6">
        <w:rPr>
          <w:lang w:eastAsia="zh-CN"/>
        </w:rPr>
        <w:br/>
        <w:t>PubMed PMID:28356445</w:t>
      </w:r>
    </w:p>
    <w:p w14:paraId="641F792F" w14:textId="77777777" w:rsidR="00F71149" w:rsidRPr="009468B6" w:rsidRDefault="00F71149" w:rsidP="00F71149">
      <w:pPr>
        <w:pStyle w:val="Reference"/>
        <w:rPr>
          <w:lang w:eastAsia="zh-CN"/>
        </w:rPr>
      </w:pPr>
    </w:p>
    <w:p w14:paraId="2678EC7F" w14:textId="77777777" w:rsidR="00F71149" w:rsidRPr="009468B6" w:rsidRDefault="00F71149" w:rsidP="00F71149">
      <w:pPr>
        <w:pStyle w:val="Reference"/>
        <w:rPr>
          <w:lang w:eastAsia="zh-CN"/>
        </w:rPr>
      </w:pPr>
      <w:r>
        <w:rPr>
          <w:lang w:eastAsia="zh-CN"/>
        </w:rPr>
        <w:t xml:space="preserve">2. </w:t>
      </w:r>
      <w:r w:rsidRPr="009468B6">
        <w:rPr>
          <w:lang w:eastAsia="zh-CN"/>
        </w:rPr>
        <w:tab/>
        <w:t>Nakamura Y, Yashiro M, Yanagawa H. Epidemiology of Kawasaki disease in Japan in 2021-2022: Results of the 27th nationwide survey. Pediatr Int. 2025;67(1):e70007.</w:t>
      </w:r>
      <w:r w:rsidRPr="009468B6">
        <w:rPr>
          <w:lang w:eastAsia="zh-CN"/>
        </w:rPr>
        <w:br/>
        <w:t>doi:10.1111/ped.70007</w:t>
      </w:r>
      <w:r w:rsidRPr="009468B6">
        <w:rPr>
          <w:lang w:eastAsia="zh-CN"/>
        </w:rPr>
        <w:br/>
        <w:t>PubMed PMID:40189891</w:t>
      </w:r>
    </w:p>
    <w:p w14:paraId="0815979C" w14:textId="77777777" w:rsidR="00F71149" w:rsidRPr="009468B6" w:rsidRDefault="00F71149" w:rsidP="00F71149">
      <w:pPr>
        <w:pStyle w:val="Reference"/>
        <w:rPr>
          <w:lang w:eastAsia="zh-CN"/>
        </w:rPr>
      </w:pPr>
    </w:p>
    <w:p w14:paraId="3F65FC7C" w14:textId="77777777" w:rsidR="00F71149" w:rsidRPr="009468B6" w:rsidRDefault="00F71149" w:rsidP="00F71149">
      <w:pPr>
        <w:pStyle w:val="Reference"/>
        <w:rPr>
          <w:lang w:eastAsia="zh-CN"/>
        </w:rPr>
      </w:pPr>
      <w:r>
        <w:rPr>
          <w:lang w:eastAsia="zh-CN"/>
        </w:rPr>
        <w:t xml:space="preserve">3. </w:t>
      </w:r>
      <w:r w:rsidRPr="009468B6">
        <w:rPr>
          <w:lang w:eastAsia="zh-CN"/>
        </w:rPr>
        <w:tab/>
        <w:t>Daniels LB, Tjajadi MS, Walford HH, Jimenez-Fernandez S, Trofimenko V, Fick DB, Jr., Phan HA, et al. Prevalence of Kawasaki disease in young adults with suspected myocardial ischemia. Circulation. 2012;125(20):2447-2453.</w:t>
      </w:r>
      <w:r w:rsidRPr="009468B6">
        <w:rPr>
          <w:lang w:eastAsia="zh-CN"/>
        </w:rPr>
        <w:br/>
        <w:t>doi:10.1161/CIRCULATIONAHA.111.082107</w:t>
      </w:r>
      <w:r w:rsidRPr="009468B6">
        <w:rPr>
          <w:lang w:eastAsia="zh-CN"/>
        </w:rPr>
        <w:br/>
        <w:t>PubMed PMID:22595319</w:t>
      </w:r>
    </w:p>
    <w:p w14:paraId="4693FF75" w14:textId="77777777" w:rsidR="00F71149" w:rsidRPr="009468B6" w:rsidRDefault="00F71149" w:rsidP="00F71149">
      <w:pPr>
        <w:pStyle w:val="Reference"/>
        <w:rPr>
          <w:lang w:eastAsia="zh-CN"/>
        </w:rPr>
      </w:pPr>
    </w:p>
    <w:p w14:paraId="36BC0040" w14:textId="77777777" w:rsidR="00F71149" w:rsidRPr="009468B6" w:rsidRDefault="00F71149" w:rsidP="00F71149">
      <w:pPr>
        <w:pStyle w:val="Reference"/>
        <w:rPr>
          <w:lang w:eastAsia="zh-CN"/>
        </w:rPr>
      </w:pPr>
      <w:r>
        <w:rPr>
          <w:lang w:eastAsia="zh-CN"/>
        </w:rPr>
        <w:t xml:space="preserve">4. </w:t>
      </w:r>
      <w:r w:rsidRPr="009468B6">
        <w:rPr>
          <w:lang w:eastAsia="zh-CN"/>
        </w:rPr>
        <w:tab/>
        <w:t>The Pediatric Infectious Disease Journal, n.d. https://journals.lww.com/pidj/abstract/1995/03000/Evaluation_of_the_cytokine_response_in_Kawasaki.6.aspx (accessed May 26, 2026).</w:t>
      </w:r>
    </w:p>
    <w:p w14:paraId="65625B6F" w14:textId="77777777" w:rsidR="00F71149" w:rsidRPr="009468B6" w:rsidRDefault="00F71149" w:rsidP="00F71149">
      <w:pPr>
        <w:pStyle w:val="Reference"/>
        <w:rPr>
          <w:lang w:eastAsia="zh-CN"/>
        </w:rPr>
      </w:pPr>
    </w:p>
    <w:p w14:paraId="095A9668" w14:textId="77777777" w:rsidR="00F71149" w:rsidRPr="009468B6" w:rsidRDefault="00F71149" w:rsidP="00F71149">
      <w:pPr>
        <w:pStyle w:val="Reference"/>
        <w:rPr>
          <w:lang w:eastAsia="zh-CN"/>
        </w:rPr>
      </w:pPr>
      <w:r>
        <w:rPr>
          <w:lang w:eastAsia="zh-CN"/>
        </w:rPr>
        <w:t xml:space="preserve">5. </w:t>
      </w:r>
      <w:r w:rsidRPr="009468B6">
        <w:rPr>
          <w:lang w:eastAsia="zh-CN"/>
        </w:rPr>
        <w:tab/>
        <w:t>Furusho K, Kamiya T, Nakano H, Kiyosawa N, Shinomiya K, Hayashidera T, Tamura T, et al. High-dose intravenous gammaglobulin for Kawasaki disease. Lancet. 1984;2(8411):1055-1058.</w:t>
      </w:r>
      <w:r w:rsidRPr="009468B6">
        <w:rPr>
          <w:lang w:eastAsia="zh-CN"/>
        </w:rPr>
        <w:br/>
        <w:t>doi:10.1016/s0140-6736(84)91504-6</w:t>
      </w:r>
      <w:r w:rsidRPr="009468B6">
        <w:rPr>
          <w:lang w:eastAsia="zh-CN"/>
        </w:rPr>
        <w:br/>
        <w:t>PubMed PMID:6209513</w:t>
      </w:r>
    </w:p>
    <w:p w14:paraId="7348C887" w14:textId="77777777" w:rsidR="00F71149" w:rsidRPr="009468B6" w:rsidRDefault="00F71149" w:rsidP="00F71149">
      <w:pPr>
        <w:pStyle w:val="Reference"/>
        <w:rPr>
          <w:lang w:eastAsia="zh-CN"/>
        </w:rPr>
      </w:pPr>
    </w:p>
    <w:p w14:paraId="4A41DE73" w14:textId="77777777" w:rsidR="00F71149" w:rsidRPr="009468B6" w:rsidRDefault="00F71149" w:rsidP="00F71149">
      <w:pPr>
        <w:pStyle w:val="Reference"/>
        <w:rPr>
          <w:lang w:eastAsia="zh-CN"/>
        </w:rPr>
      </w:pPr>
      <w:r>
        <w:rPr>
          <w:lang w:eastAsia="zh-CN"/>
        </w:rPr>
        <w:t xml:space="preserve">6. </w:t>
      </w:r>
      <w:r w:rsidRPr="009468B6">
        <w:rPr>
          <w:lang w:eastAsia="zh-CN"/>
        </w:rPr>
        <w:tab/>
        <w:t>Xie LP, Yan WL, Huang M, Huang MR, Chen S, Huang GY, Liu F. Epidemiologic features of Kawasaki disease in Shanghai from 2013 through 2017. J Epidemiol. 2020;30(10):429-435.</w:t>
      </w:r>
      <w:r w:rsidRPr="009468B6">
        <w:rPr>
          <w:lang w:eastAsia="zh-CN"/>
        </w:rPr>
        <w:br/>
        <w:t>doi:10.2188/jea.JE20190065</w:t>
      </w:r>
      <w:r w:rsidRPr="009468B6">
        <w:rPr>
          <w:lang w:eastAsia="zh-CN"/>
        </w:rPr>
        <w:br/>
        <w:t>PubMed PMID:31548437</w:t>
      </w:r>
    </w:p>
    <w:p w14:paraId="5BFFC1E9" w14:textId="77777777" w:rsidR="00F71149" w:rsidRPr="009468B6" w:rsidRDefault="00F71149" w:rsidP="00F71149">
      <w:pPr>
        <w:pStyle w:val="Reference"/>
        <w:rPr>
          <w:lang w:eastAsia="zh-CN"/>
        </w:rPr>
      </w:pPr>
    </w:p>
    <w:p w14:paraId="7DBEE334" w14:textId="77777777" w:rsidR="00F71149" w:rsidRPr="009468B6" w:rsidRDefault="00F71149" w:rsidP="00F71149">
      <w:pPr>
        <w:pStyle w:val="Reference"/>
        <w:rPr>
          <w:lang w:eastAsia="zh-CN"/>
        </w:rPr>
      </w:pPr>
      <w:r>
        <w:rPr>
          <w:lang w:eastAsia="zh-CN"/>
        </w:rPr>
        <w:t xml:space="preserve">7. </w:t>
      </w:r>
      <w:r w:rsidRPr="009468B6">
        <w:rPr>
          <w:lang w:eastAsia="zh-CN"/>
        </w:rPr>
        <w:tab/>
        <w:t>Kim GB, Eun LY, Han JW, Kim SH, Yoon KL, Han MY, Yu JJ, et al. Epidemiology of Kawasaki disease in South Korea: a nationwide survey 2015-2017. Pediatr Infect Dis J. 2020;39(11):1012-1016.</w:t>
      </w:r>
      <w:r w:rsidRPr="009468B6">
        <w:rPr>
          <w:lang w:eastAsia="zh-CN"/>
        </w:rPr>
        <w:br/>
        <w:t>doi:10.1097/INF.0000000000002793</w:t>
      </w:r>
      <w:r w:rsidRPr="009468B6">
        <w:rPr>
          <w:lang w:eastAsia="zh-CN"/>
        </w:rPr>
        <w:br/>
        <w:t>PubMed PMID:33075217</w:t>
      </w:r>
    </w:p>
    <w:p w14:paraId="1F1F40BF" w14:textId="77777777" w:rsidR="00F71149" w:rsidRPr="009468B6" w:rsidRDefault="00F71149" w:rsidP="00F71149">
      <w:pPr>
        <w:pStyle w:val="Reference"/>
        <w:rPr>
          <w:lang w:eastAsia="zh-CN"/>
        </w:rPr>
      </w:pPr>
    </w:p>
    <w:p w14:paraId="0D03A6CC" w14:textId="77777777" w:rsidR="00F71149" w:rsidRPr="009468B6" w:rsidRDefault="00F71149" w:rsidP="00F71149">
      <w:pPr>
        <w:pStyle w:val="Reference"/>
        <w:rPr>
          <w:lang w:eastAsia="zh-CN"/>
        </w:rPr>
      </w:pPr>
      <w:r>
        <w:rPr>
          <w:lang w:eastAsia="zh-CN"/>
        </w:rPr>
        <w:t xml:space="preserve">8. </w:t>
      </w:r>
      <w:r w:rsidRPr="009468B6">
        <w:rPr>
          <w:lang w:eastAsia="zh-CN"/>
        </w:rPr>
        <w:tab/>
        <w:t>Narayan HK, Lizcano A, Lam-Hine T, Ulloa-Gutierrez R, Bainto EV, Garrido-Garcia LM, Estripeaut D, et al. Clinical Presentation and Outcomes of Kawasaki Disease in Children from Latin America: A Multicenter Observational Study from the REKAMLATINA Network. J Pediatr. 2023;263:113346.</w:t>
      </w:r>
      <w:r w:rsidRPr="009468B6">
        <w:rPr>
          <w:lang w:eastAsia="zh-CN"/>
        </w:rPr>
        <w:br/>
      </w:r>
      <w:r w:rsidRPr="009468B6">
        <w:rPr>
          <w:lang w:eastAsia="zh-CN"/>
        </w:rPr>
        <w:lastRenderedPageBreak/>
        <w:t>doi:10.1016/j.jpeds.2023.02.001</w:t>
      </w:r>
      <w:r w:rsidRPr="009468B6">
        <w:rPr>
          <w:lang w:eastAsia="zh-CN"/>
        </w:rPr>
        <w:br/>
        <w:t>PubMed PMID:36775190</w:t>
      </w:r>
    </w:p>
    <w:p w14:paraId="6022978E" w14:textId="77777777" w:rsidR="00F71149" w:rsidRPr="009468B6" w:rsidRDefault="00F71149" w:rsidP="00F71149">
      <w:pPr>
        <w:pStyle w:val="Reference"/>
        <w:rPr>
          <w:lang w:eastAsia="zh-CN"/>
        </w:rPr>
      </w:pPr>
    </w:p>
    <w:p w14:paraId="2A1D0C50" w14:textId="77777777" w:rsidR="00F71149" w:rsidRPr="009468B6" w:rsidRDefault="00F71149" w:rsidP="00F71149">
      <w:pPr>
        <w:pStyle w:val="Reference"/>
        <w:rPr>
          <w:lang w:eastAsia="zh-CN"/>
        </w:rPr>
      </w:pPr>
      <w:r>
        <w:rPr>
          <w:lang w:eastAsia="zh-CN"/>
        </w:rPr>
        <w:t xml:space="preserve">9. </w:t>
      </w:r>
      <w:r w:rsidRPr="009468B6">
        <w:rPr>
          <w:lang w:eastAsia="zh-CN"/>
        </w:rPr>
        <w:tab/>
        <w:t>Furukawa S, Matsubara T, Jujoh K, Yone K, Sugawara T, Sasai K, Kato H, et al. Peripheral blood monocyte/macrophages and serum tumor necrosis factor in Kawasaki disease. Clin Immunol Immunopathol. 1988;48(2):247-251.</w:t>
      </w:r>
      <w:r w:rsidRPr="009468B6">
        <w:rPr>
          <w:lang w:eastAsia="zh-CN"/>
        </w:rPr>
        <w:br/>
        <w:t>doi:10.1016/0090-1229(88)90088-8</w:t>
      </w:r>
      <w:r w:rsidRPr="009468B6">
        <w:rPr>
          <w:lang w:eastAsia="zh-CN"/>
        </w:rPr>
        <w:br/>
        <w:t>PubMed PMID:3390972</w:t>
      </w:r>
    </w:p>
    <w:p w14:paraId="376E17DA" w14:textId="77777777" w:rsidR="00F71149" w:rsidRPr="009468B6" w:rsidRDefault="00F71149" w:rsidP="00F71149">
      <w:pPr>
        <w:pStyle w:val="Reference"/>
        <w:rPr>
          <w:lang w:eastAsia="zh-CN"/>
        </w:rPr>
      </w:pPr>
    </w:p>
    <w:p w14:paraId="1595E848" w14:textId="77777777" w:rsidR="00F71149" w:rsidRPr="009468B6" w:rsidRDefault="00F71149" w:rsidP="00F71149">
      <w:pPr>
        <w:pStyle w:val="Reference"/>
        <w:rPr>
          <w:lang w:eastAsia="zh-CN"/>
        </w:rPr>
      </w:pPr>
      <w:r>
        <w:rPr>
          <w:lang w:eastAsia="zh-CN"/>
        </w:rPr>
        <w:t xml:space="preserve">10. </w:t>
      </w:r>
      <w:r w:rsidRPr="009468B6">
        <w:rPr>
          <w:lang w:eastAsia="zh-CN"/>
        </w:rPr>
        <w:tab/>
        <w:t>Matsubara T, Furukawa S, Yabuta K. Serum levels of tumor necrosis factor, interleukin 2 receptor, and interferon-gamma in Kawasaki disease involved coronary-artery lesions. Clin Immunol Immunopathol. 1990;56(1):29-36.</w:t>
      </w:r>
      <w:r w:rsidRPr="009468B6">
        <w:rPr>
          <w:lang w:eastAsia="zh-CN"/>
        </w:rPr>
        <w:br/>
        <w:t>doi:10.1016/0090-1229(90)90166-n</w:t>
      </w:r>
      <w:r w:rsidRPr="009468B6">
        <w:rPr>
          <w:lang w:eastAsia="zh-CN"/>
        </w:rPr>
        <w:br/>
        <w:t>PubMed PMID:2113446</w:t>
      </w:r>
    </w:p>
    <w:p w14:paraId="32FCBCB7" w14:textId="77777777" w:rsidR="00F71149" w:rsidRPr="009468B6" w:rsidRDefault="00F71149" w:rsidP="00F71149">
      <w:pPr>
        <w:pStyle w:val="Reference"/>
        <w:rPr>
          <w:lang w:eastAsia="zh-CN"/>
        </w:rPr>
      </w:pPr>
    </w:p>
    <w:p w14:paraId="24E098EA" w14:textId="77777777" w:rsidR="00F71149" w:rsidRPr="009468B6" w:rsidRDefault="00F71149" w:rsidP="00F71149">
      <w:pPr>
        <w:pStyle w:val="Reference"/>
        <w:rPr>
          <w:lang w:eastAsia="zh-CN"/>
        </w:rPr>
      </w:pPr>
      <w:r>
        <w:rPr>
          <w:lang w:eastAsia="zh-CN"/>
        </w:rPr>
        <w:t xml:space="preserve">11. </w:t>
      </w:r>
      <w:r w:rsidRPr="009468B6">
        <w:rPr>
          <w:lang w:eastAsia="zh-CN"/>
        </w:rPr>
        <w:tab/>
        <w:t>Mahmoudinezhad Dezfouli SM, Salehi S, Khosravi S. Pathogenic and therapeutic roles of cytokines in Kawasaki diseases. Clin Chim Acta. 2022;532:21-28.</w:t>
      </w:r>
      <w:r w:rsidRPr="009468B6">
        <w:rPr>
          <w:lang w:eastAsia="zh-CN"/>
        </w:rPr>
        <w:br/>
        <w:t>doi:10.1016/j.cca.2022.05.015</w:t>
      </w:r>
      <w:r w:rsidRPr="009468B6">
        <w:rPr>
          <w:lang w:eastAsia="zh-CN"/>
        </w:rPr>
        <w:br/>
        <w:t>PubMed PMID:35609708</w:t>
      </w:r>
    </w:p>
    <w:p w14:paraId="57571A14" w14:textId="77777777" w:rsidR="00F71149" w:rsidRPr="009468B6" w:rsidRDefault="00F71149" w:rsidP="00F71149">
      <w:pPr>
        <w:pStyle w:val="Reference"/>
        <w:rPr>
          <w:lang w:eastAsia="zh-CN"/>
        </w:rPr>
      </w:pPr>
    </w:p>
    <w:p w14:paraId="43905FA3" w14:textId="77777777" w:rsidR="00F71149" w:rsidRPr="009468B6" w:rsidRDefault="00F71149" w:rsidP="00F71149">
      <w:pPr>
        <w:pStyle w:val="Reference"/>
        <w:rPr>
          <w:lang w:eastAsia="zh-CN"/>
        </w:rPr>
      </w:pPr>
      <w:r>
        <w:rPr>
          <w:lang w:eastAsia="zh-CN"/>
        </w:rPr>
        <w:t xml:space="preserve">12. </w:t>
      </w:r>
      <w:r w:rsidRPr="009468B6">
        <w:rPr>
          <w:lang w:eastAsia="zh-CN"/>
        </w:rPr>
        <w:tab/>
        <w:t>Inoue Y, Okada Y, Shinohara M, Kobayashi T, Kobayashi T, Tomomasa T, Takeuchi K, et al. A multicenter prospective randomized trial of corticosteroids in primary therapy for Kawasaki disease: clinical course and coronary artery outcome. J Pediatr. 2006;149(3):336-341.</w:t>
      </w:r>
      <w:r w:rsidRPr="009468B6">
        <w:rPr>
          <w:lang w:eastAsia="zh-CN"/>
        </w:rPr>
        <w:br/>
        <w:t>doi:10.1016/j.jpeds.2006.05.025</w:t>
      </w:r>
      <w:r w:rsidRPr="009468B6">
        <w:rPr>
          <w:lang w:eastAsia="zh-CN"/>
        </w:rPr>
        <w:br/>
        <w:t>PubMed PMID:16939743</w:t>
      </w:r>
    </w:p>
    <w:p w14:paraId="14B1B90C" w14:textId="77777777" w:rsidR="00F71149" w:rsidRPr="009468B6" w:rsidRDefault="00F71149" w:rsidP="00F71149">
      <w:pPr>
        <w:pStyle w:val="Reference"/>
        <w:rPr>
          <w:lang w:eastAsia="zh-CN"/>
        </w:rPr>
      </w:pPr>
    </w:p>
    <w:p w14:paraId="0114CA1E" w14:textId="77777777" w:rsidR="00F71149" w:rsidRPr="009468B6" w:rsidRDefault="00F71149" w:rsidP="00F71149">
      <w:pPr>
        <w:pStyle w:val="Reference"/>
        <w:rPr>
          <w:lang w:eastAsia="zh-CN"/>
        </w:rPr>
      </w:pPr>
      <w:r>
        <w:rPr>
          <w:lang w:eastAsia="zh-CN"/>
        </w:rPr>
        <w:t xml:space="preserve">13. </w:t>
      </w:r>
      <w:r w:rsidRPr="009468B6">
        <w:rPr>
          <w:lang w:eastAsia="zh-CN"/>
        </w:rPr>
        <w:tab/>
        <w:t>Okada Y, Shinohara M, Kobayashi T, Inoue Y, Tomomasa T, Kobayashi T, Morikawa A, et al. Effect of corticosteroids in addition to intravenous gamma globulin therapy on serum cytokine levels in the acute phase of Kawasaki disease in children. J Pediatr. 2003;143(3):363-367.</w:t>
      </w:r>
      <w:r w:rsidRPr="009468B6">
        <w:rPr>
          <w:lang w:eastAsia="zh-CN"/>
        </w:rPr>
        <w:br/>
        <w:t>doi:10.1067/s0022-3476(03)00387-1</w:t>
      </w:r>
      <w:r w:rsidRPr="009468B6">
        <w:rPr>
          <w:lang w:eastAsia="zh-CN"/>
        </w:rPr>
        <w:br/>
        <w:t>PubMed PMID:14517521</w:t>
      </w:r>
    </w:p>
    <w:p w14:paraId="159AA2B0" w14:textId="77777777" w:rsidR="00F71149" w:rsidRPr="009468B6" w:rsidRDefault="00F71149" w:rsidP="00F71149">
      <w:pPr>
        <w:pStyle w:val="Reference"/>
        <w:rPr>
          <w:lang w:eastAsia="zh-CN"/>
        </w:rPr>
      </w:pPr>
    </w:p>
    <w:p w14:paraId="685FFFD8" w14:textId="77777777" w:rsidR="00F71149" w:rsidRPr="009468B6" w:rsidRDefault="00F71149" w:rsidP="00F71149">
      <w:pPr>
        <w:pStyle w:val="Reference"/>
        <w:rPr>
          <w:lang w:eastAsia="zh-CN"/>
        </w:rPr>
      </w:pPr>
      <w:r>
        <w:rPr>
          <w:lang w:eastAsia="zh-CN"/>
        </w:rPr>
        <w:t xml:space="preserve">14. </w:t>
      </w:r>
      <w:r w:rsidRPr="009468B6">
        <w:rPr>
          <w:lang w:eastAsia="zh-CN"/>
        </w:rPr>
        <w:tab/>
        <w:t>Lin S, He Y, He L, Liu Y, Wang F, Xiong Z, Lin Y, et al. Randomized trial of adjunctive prednisolone for Kawasaki disease. N Engl J Med. 2026;394(15):1480-1490.</w:t>
      </w:r>
      <w:r w:rsidRPr="009468B6">
        <w:rPr>
          <w:lang w:eastAsia="zh-CN"/>
        </w:rPr>
        <w:br/>
      </w:r>
      <w:r w:rsidRPr="009468B6">
        <w:rPr>
          <w:lang w:eastAsia="zh-CN"/>
        </w:rPr>
        <w:lastRenderedPageBreak/>
        <w:t>doi:10.1056/NEJMoa2511478</w:t>
      </w:r>
      <w:r w:rsidRPr="009468B6">
        <w:rPr>
          <w:lang w:eastAsia="zh-CN"/>
        </w:rPr>
        <w:br/>
        <w:t>PubMed PMID:41985133</w:t>
      </w:r>
    </w:p>
    <w:p w14:paraId="45E6F8DE" w14:textId="77777777" w:rsidR="00F71149" w:rsidRPr="009468B6" w:rsidRDefault="00F71149" w:rsidP="00F71149">
      <w:pPr>
        <w:pStyle w:val="Reference"/>
        <w:rPr>
          <w:lang w:eastAsia="zh-CN"/>
        </w:rPr>
      </w:pPr>
    </w:p>
    <w:p w14:paraId="48E63450" w14:textId="77777777" w:rsidR="00F71149" w:rsidRPr="009468B6" w:rsidRDefault="00F71149" w:rsidP="00F71149">
      <w:pPr>
        <w:pStyle w:val="Reference"/>
        <w:rPr>
          <w:lang w:eastAsia="zh-CN"/>
        </w:rPr>
      </w:pPr>
      <w:r>
        <w:rPr>
          <w:lang w:eastAsia="zh-CN"/>
        </w:rPr>
        <w:t xml:space="preserve">15. </w:t>
      </w:r>
      <w:r w:rsidRPr="009468B6">
        <w:rPr>
          <w:lang w:eastAsia="zh-CN"/>
        </w:rPr>
        <w:tab/>
        <w:t>Kobayashi T, Saji T, Otani T, Takeuchi K, Nakamura T, Arakawa H, Kato T, et al. Efficacy of immunoglobulin plus prednisolone for prevention of coronary artery abnormalities in severe Kawasaki disease (RAISE study): a randomised, open-label, blinded-endpoints trial. Lancet. 2012;379(9826):1613-1620.</w:t>
      </w:r>
      <w:r w:rsidRPr="009468B6">
        <w:rPr>
          <w:lang w:eastAsia="zh-CN"/>
        </w:rPr>
        <w:br/>
        <w:t>doi:10.1016/S0140-6736(11)61930-2</w:t>
      </w:r>
      <w:r w:rsidRPr="009468B6">
        <w:rPr>
          <w:lang w:eastAsia="zh-CN"/>
        </w:rPr>
        <w:br/>
        <w:t>PubMed PMID:22405251</w:t>
      </w:r>
    </w:p>
    <w:p w14:paraId="4271CED5" w14:textId="77777777" w:rsidR="00F71149" w:rsidRPr="009468B6" w:rsidRDefault="00F71149" w:rsidP="00F71149">
      <w:pPr>
        <w:pStyle w:val="Reference"/>
        <w:rPr>
          <w:lang w:eastAsia="zh-CN"/>
        </w:rPr>
      </w:pPr>
    </w:p>
    <w:p w14:paraId="23189F31" w14:textId="77777777" w:rsidR="00F71149" w:rsidRPr="009468B6" w:rsidRDefault="00F71149" w:rsidP="00F71149">
      <w:pPr>
        <w:pStyle w:val="Reference"/>
        <w:rPr>
          <w:lang w:eastAsia="zh-CN"/>
        </w:rPr>
      </w:pPr>
      <w:r>
        <w:rPr>
          <w:lang w:eastAsia="zh-CN"/>
        </w:rPr>
        <w:t xml:space="preserve">16. </w:t>
      </w:r>
      <w:r w:rsidRPr="009468B6">
        <w:rPr>
          <w:lang w:eastAsia="zh-CN"/>
        </w:rPr>
        <w:tab/>
        <w:t>Newburger JW, Sleeper LA, McCrindle BW, Minich LL, Gersony W, Vetter VL, Atz AM, et al. Randomized trial of pulsed corticosteroid therapy for primary treatment of Kawasaki disease. N Engl J Med. 2007;356(7):663-675.</w:t>
      </w:r>
      <w:r w:rsidRPr="009468B6">
        <w:rPr>
          <w:lang w:eastAsia="zh-CN"/>
        </w:rPr>
        <w:br/>
        <w:t>doi:10.1056/NEJMoa061235</w:t>
      </w:r>
      <w:r w:rsidRPr="009468B6">
        <w:rPr>
          <w:lang w:eastAsia="zh-CN"/>
        </w:rPr>
        <w:br/>
        <w:t>PubMed PMID:17301297</w:t>
      </w:r>
    </w:p>
    <w:p w14:paraId="029FDE2A" w14:textId="77777777" w:rsidR="00F71149" w:rsidRPr="009468B6" w:rsidRDefault="00F71149" w:rsidP="00F71149">
      <w:pPr>
        <w:pStyle w:val="Reference"/>
        <w:rPr>
          <w:lang w:eastAsia="zh-CN"/>
        </w:rPr>
      </w:pPr>
    </w:p>
    <w:p w14:paraId="4A1AB00C" w14:textId="77777777" w:rsidR="00F71149" w:rsidRPr="009468B6" w:rsidRDefault="00F71149" w:rsidP="00F71149">
      <w:pPr>
        <w:pStyle w:val="Reference"/>
        <w:rPr>
          <w:lang w:eastAsia="zh-CN"/>
        </w:rPr>
      </w:pPr>
      <w:r>
        <w:rPr>
          <w:lang w:eastAsia="zh-CN"/>
        </w:rPr>
        <w:t xml:space="preserve">17. </w:t>
      </w:r>
      <w:r w:rsidRPr="009468B6">
        <w:rPr>
          <w:lang w:eastAsia="zh-CN"/>
        </w:rPr>
        <w:tab/>
        <w:t>Page MJ, McKenzie JE, Bossuyt PM, Boutron I, Hoffmann TC, Mulrow CD, Shamseer L, et al. The PRISMA 2020 statement: an updated guideline for reporting systematic reviews. BMJ. 2021;372:n71.</w:t>
      </w:r>
      <w:r w:rsidRPr="009468B6">
        <w:rPr>
          <w:lang w:eastAsia="zh-CN"/>
        </w:rPr>
        <w:br/>
        <w:t>doi:10.1136/bmj.n71</w:t>
      </w:r>
      <w:r w:rsidRPr="009468B6">
        <w:rPr>
          <w:lang w:eastAsia="zh-CN"/>
        </w:rPr>
        <w:br/>
        <w:t>PubMed PMID:33782057</w:t>
      </w:r>
    </w:p>
    <w:p w14:paraId="7CE09E71" w14:textId="77777777" w:rsidR="00F71149" w:rsidRPr="009468B6" w:rsidRDefault="00F71149" w:rsidP="00F71149">
      <w:pPr>
        <w:pStyle w:val="Reference"/>
        <w:rPr>
          <w:lang w:eastAsia="zh-CN"/>
        </w:rPr>
      </w:pPr>
    </w:p>
    <w:p w14:paraId="502B3CFA" w14:textId="77777777" w:rsidR="00F71149" w:rsidRPr="009468B6" w:rsidRDefault="00F71149" w:rsidP="00F71149">
      <w:pPr>
        <w:pStyle w:val="Reference"/>
        <w:rPr>
          <w:lang w:eastAsia="zh-CN"/>
        </w:rPr>
      </w:pPr>
      <w:r>
        <w:rPr>
          <w:lang w:eastAsia="zh-CN"/>
        </w:rPr>
        <w:t xml:space="preserve">18. </w:t>
      </w:r>
      <w:r w:rsidRPr="009468B6">
        <w:rPr>
          <w:lang w:eastAsia="zh-CN"/>
        </w:rPr>
        <w:tab/>
        <w:t>Cochrane Handbook for Systematic Reviews of Interventions n.d. https://training.cochrane.org/handbook (accessed April 6, 2025).</w:t>
      </w:r>
    </w:p>
    <w:p w14:paraId="25CF1A43" w14:textId="77777777" w:rsidR="00F71149" w:rsidRPr="009468B6" w:rsidRDefault="00F71149" w:rsidP="00F71149">
      <w:pPr>
        <w:pStyle w:val="Reference"/>
        <w:rPr>
          <w:lang w:eastAsia="zh-CN"/>
        </w:rPr>
      </w:pPr>
    </w:p>
    <w:p w14:paraId="152F5535" w14:textId="77777777" w:rsidR="00F71149" w:rsidRPr="009468B6" w:rsidRDefault="00F71149" w:rsidP="00F71149">
      <w:pPr>
        <w:pStyle w:val="Reference"/>
        <w:rPr>
          <w:lang w:eastAsia="zh-CN"/>
        </w:rPr>
      </w:pPr>
      <w:r>
        <w:rPr>
          <w:lang w:eastAsia="zh-CN"/>
        </w:rPr>
        <w:t xml:space="preserve">19. </w:t>
      </w:r>
      <w:r w:rsidRPr="009468B6">
        <w:rPr>
          <w:lang w:eastAsia="zh-CN"/>
        </w:rPr>
        <w:tab/>
        <w:t>RoB 2: A revised Cochrane risk-of-bias tool for randomized trials | Cochrane Bias n.d. https://methods.cochrane.org/bias/resources/rob-2-revised-cochrane-risk-bias-tool-randomized-trials (accessed April 21, 2025).</w:t>
      </w:r>
    </w:p>
    <w:p w14:paraId="53E49610" w14:textId="77777777" w:rsidR="00F71149" w:rsidRPr="009468B6" w:rsidRDefault="00F71149" w:rsidP="00F71149">
      <w:pPr>
        <w:pStyle w:val="Reference"/>
        <w:rPr>
          <w:lang w:eastAsia="zh-CN"/>
        </w:rPr>
      </w:pPr>
    </w:p>
    <w:p w14:paraId="035DCC6B" w14:textId="77777777" w:rsidR="00F71149" w:rsidRPr="009468B6" w:rsidRDefault="00F71149" w:rsidP="00F71149">
      <w:pPr>
        <w:pStyle w:val="Reference"/>
        <w:rPr>
          <w:lang w:eastAsia="zh-CN"/>
        </w:rPr>
      </w:pPr>
      <w:r>
        <w:rPr>
          <w:lang w:eastAsia="zh-CN"/>
        </w:rPr>
        <w:t xml:space="preserve">20. </w:t>
      </w:r>
      <w:r w:rsidRPr="009468B6">
        <w:rPr>
          <w:lang w:eastAsia="zh-CN"/>
        </w:rPr>
        <w:tab/>
        <w:t>Miura M, Ohki H, Yoshiba S, Ueda H, Sugaya A, Satoh M, Yamagishi H. Adverse effects of methylprednisolone pulse therapy in refractory Kawasaki disease. Arch Dis Child. 2005;90(10):1096-1097.</w:t>
      </w:r>
      <w:r w:rsidRPr="009468B6">
        <w:rPr>
          <w:lang w:eastAsia="zh-CN"/>
        </w:rPr>
        <w:br/>
        <w:t>doi:10.1136/adc.2004.062299</w:t>
      </w:r>
      <w:r w:rsidRPr="009468B6">
        <w:rPr>
          <w:lang w:eastAsia="zh-CN"/>
        </w:rPr>
        <w:br/>
        <w:t>PubMed PMID:16177169</w:t>
      </w:r>
    </w:p>
    <w:p w14:paraId="4077C7DD" w14:textId="77777777" w:rsidR="00F71149" w:rsidRPr="009468B6" w:rsidRDefault="00F71149" w:rsidP="00F71149">
      <w:pPr>
        <w:pStyle w:val="Reference"/>
        <w:rPr>
          <w:lang w:eastAsia="zh-CN"/>
        </w:rPr>
      </w:pPr>
    </w:p>
    <w:p w14:paraId="4E3B3C74" w14:textId="77777777" w:rsidR="00F71149" w:rsidRPr="009468B6" w:rsidRDefault="00F71149" w:rsidP="00F71149">
      <w:pPr>
        <w:pStyle w:val="Reference"/>
        <w:rPr>
          <w:lang w:eastAsia="zh-CN"/>
        </w:rPr>
      </w:pPr>
      <w:r>
        <w:rPr>
          <w:lang w:eastAsia="zh-CN"/>
        </w:rPr>
        <w:t xml:space="preserve">21. </w:t>
      </w:r>
      <w:r w:rsidRPr="009468B6">
        <w:rPr>
          <w:lang w:eastAsia="zh-CN"/>
        </w:rPr>
        <w:tab/>
        <w:t>Miura M, Kohno K, Ohki H, Yoshiba S, Sugaya A, Satoh M. Effects of methylprednisolone pulse on cytokine levels in Kawasaki disease patients unresponsive to intravenous immunoglobulin. Eur J Pediatr. 2008;167(10):1119-1123.</w:t>
      </w:r>
      <w:r w:rsidRPr="009468B6">
        <w:rPr>
          <w:lang w:eastAsia="zh-CN"/>
        </w:rPr>
        <w:br/>
      </w:r>
      <w:r w:rsidRPr="009468B6">
        <w:rPr>
          <w:lang w:eastAsia="zh-CN"/>
        </w:rPr>
        <w:lastRenderedPageBreak/>
        <w:t>doi:10.1007/s00431-007-0642-5</w:t>
      </w:r>
      <w:r w:rsidRPr="009468B6">
        <w:rPr>
          <w:lang w:eastAsia="zh-CN"/>
        </w:rPr>
        <w:br/>
        <w:t>PubMed PMID:18175148</w:t>
      </w:r>
    </w:p>
    <w:p w14:paraId="518B1FCE" w14:textId="77777777" w:rsidR="00F71149" w:rsidRPr="009468B6" w:rsidRDefault="00F71149" w:rsidP="00F71149">
      <w:pPr>
        <w:pStyle w:val="Reference"/>
        <w:rPr>
          <w:lang w:eastAsia="zh-CN"/>
        </w:rPr>
      </w:pPr>
    </w:p>
    <w:p w14:paraId="615010BA" w14:textId="77777777" w:rsidR="00F71149" w:rsidRPr="009468B6" w:rsidRDefault="00F71149" w:rsidP="00F71149">
      <w:pPr>
        <w:pStyle w:val="Reference"/>
        <w:rPr>
          <w:lang w:eastAsia="zh-CN"/>
        </w:rPr>
      </w:pPr>
      <w:r>
        <w:rPr>
          <w:lang w:eastAsia="zh-CN"/>
        </w:rPr>
        <w:t xml:space="preserve">22. </w:t>
      </w:r>
      <w:r w:rsidRPr="009468B6">
        <w:rPr>
          <w:lang w:eastAsia="zh-CN"/>
        </w:rPr>
        <w:tab/>
        <w:t>Ogata S, Ogihara Y, Honda T, Kon S, Akiyama K, Ishii M. Corticosteroid pulse combination therapy for refractory Kawasaki disease: a randomized trial. Pediatrics. 2012;129(1):e17-23.</w:t>
      </w:r>
      <w:r w:rsidRPr="009468B6">
        <w:rPr>
          <w:lang w:eastAsia="zh-CN"/>
        </w:rPr>
        <w:br/>
        <w:t>doi:10.1542/peds.2011-0148</w:t>
      </w:r>
      <w:r w:rsidRPr="009468B6">
        <w:rPr>
          <w:lang w:eastAsia="zh-CN"/>
        </w:rPr>
        <w:br/>
        <w:t>PubMed PMID:22144699</w:t>
      </w:r>
    </w:p>
    <w:p w14:paraId="579EA92E" w14:textId="77777777" w:rsidR="00F71149" w:rsidRPr="009468B6" w:rsidRDefault="00F71149" w:rsidP="00F71149">
      <w:pPr>
        <w:pStyle w:val="Reference"/>
        <w:rPr>
          <w:lang w:eastAsia="zh-CN"/>
        </w:rPr>
      </w:pPr>
    </w:p>
    <w:p w14:paraId="7CCD1BFB" w14:textId="77777777" w:rsidR="00F71149" w:rsidRPr="009468B6" w:rsidRDefault="00F71149" w:rsidP="00F71149">
      <w:pPr>
        <w:pStyle w:val="Reference"/>
        <w:rPr>
          <w:lang w:eastAsia="zh-CN"/>
        </w:rPr>
      </w:pPr>
      <w:r>
        <w:rPr>
          <w:lang w:eastAsia="zh-CN"/>
        </w:rPr>
        <w:t xml:space="preserve">23. </w:t>
      </w:r>
      <w:r w:rsidRPr="009468B6">
        <w:rPr>
          <w:lang w:eastAsia="zh-CN"/>
        </w:rPr>
        <w:tab/>
        <w:t>Sundel RP, Baker AL, Fulton DR, Newburger JW. Corticosteroids in the initial treatment of Kawasaki disease: report of a randomized trial. J Pediatr. 2003;142(6):611-616.</w:t>
      </w:r>
      <w:r w:rsidRPr="009468B6">
        <w:rPr>
          <w:lang w:eastAsia="zh-CN"/>
        </w:rPr>
        <w:br/>
        <w:t>doi:10.1067/mpd.2003.191</w:t>
      </w:r>
      <w:r w:rsidRPr="009468B6">
        <w:rPr>
          <w:lang w:eastAsia="zh-CN"/>
        </w:rPr>
        <w:br/>
        <w:t>PubMed PMID:12838187</w:t>
      </w:r>
    </w:p>
    <w:p w14:paraId="63B756F4" w14:textId="77777777" w:rsidR="00F71149" w:rsidRPr="009468B6" w:rsidRDefault="00F71149" w:rsidP="00F71149">
      <w:pPr>
        <w:pStyle w:val="Reference"/>
        <w:rPr>
          <w:lang w:eastAsia="zh-CN"/>
        </w:rPr>
      </w:pPr>
    </w:p>
    <w:p w14:paraId="0B8FC8B4" w14:textId="77777777" w:rsidR="00F71149" w:rsidRPr="009468B6" w:rsidRDefault="00F71149" w:rsidP="00F71149">
      <w:pPr>
        <w:pStyle w:val="Reference"/>
        <w:rPr>
          <w:lang w:eastAsia="zh-CN"/>
        </w:rPr>
      </w:pPr>
      <w:r>
        <w:rPr>
          <w:lang w:eastAsia="zh-CN"/>
        </w:rPr>
        <w:t xml:space="preserve">24. </w:t>
      </w:r>
      <w:r w:rsidRPr="009468B6">
        <w:rPr>
          <w:lang w:eastAsia="zh-CN"/>
        </w:rPr>
        <w:tab/>
        <w:t>Wang Z, Chen F, Wang Y, Li W, Xie X, Liu P, Zhang X, et al. Methylprednisolone pulse therapy or additional IVIG for patients with IVIG-resistant Kawasaki disease. J Immunol Res. 2020;2020:4175821.</w:t>
      </w:r>
      <w:r w:rsidRPr="009468B6">
        <w:rPr>
          <w:lang w:eastAsia="zh-CN"/>
        </w:rPr>
        <w:br/>
        <w:t>doi:10.1155/2020/4175821</w:t>
      </w:r>
      <w:r w:rsidRPr="009468B6">
        <w:rPr>
          <w:lang w:eastAsia="zh-CN"/>
        </w:rPr>
        <w:br/>
        <w:t>PubMed PMID:33299898</w:t>
      </w:r>
    </w:p>
    <w:p w14:paraId="261350BF" w14:textId="77777777" w:rsidR="00F71149" w:rsidRPr="009468B6" w:rsidRDefault="00F71149" w:rsidP="00F71149">
      <w:pPr>
        <w:pStyle w:val="Reference"/>
        <w:rPr>
          <w:lang w:eastAsia="zh-CN"/>
        </w:rPr>
      </w:pPr>
    </w:p>
    <w:p w14:paraId="4E0D816F" w14:textId="77777777" w:rsidR="00F71149" w:rsidRPr="009468B6" w:rsidRDefault="00F71149" w:rsidP="00F71149">
      <w:pPr>
        <w:pStyle w:val="Reference"/>
        <w:rPr>
          <w:lang w:eastAsia="zh-CN"/>
        </w:rPr>
      </w:pPr>
      <w:r>
        <w:rPr>
          <w:lang w:eastAsia="zh-CN"/>
        </w:rPr>
        <w:t xml:space="preserve">25. </w:t>
      </w:r>
      <w:r w:rsidRPr="009468B6">
        <w:rPr>
          <w:lang w:eastAsia="zh-CN"/>
        </w:rPr>
        <w:tab/>
        <w:t>Jone PN, Tremoulet A, Choueiter N, Dominguez SR, Harahsheh AS, Mitani Y, Zimmerman M, et al. Update on diagnosis and management of Kawasaki disease: a scientific statement from the American Heart Association. Circulation. 2024;150(23):e481-e500.</w:t>
      </w:r>
      <w:r w:rsidRPr="009468B6">
        <w:rPr>
          <w:lang w:eastAsia="zh-CN"/>
        </w:rPr>
        <w:br/>
        <w:t>doi:10.1161/CIR.0000000000001295</w:t>
      </w:r>
      <w:r w:rsidRPr="009468B6">
        <w:rPr>
          <w:lang w:eastAsia="zh-CN"/>
        </w:rPr>
        <w:br/>
        <w:t>PubMed PMID:39534969</w:t>
      </w:r>
    </w:p>
    <w:p w14:paraId="772B5530" w14:textId="77777777" w:rsidR="00F71149" w:rsidRPr="009468B6" w:rsidRDefault="00F71149" w:rsidP="00F71149">
      <w:pPr>
        <w:pStyle w:val="Reference"/>
        <w:rPr>
          <w:lang w:eastAsia="zh-CN"/>
        </w:rPr>
      </w:pPr>
    </w:p>
    <w:p w14:paraId="547018C8" w14:textId="77777777" w:rsidR="00F71149" w:rsidRPr="009468B6" w:rsidRDefault="00F71149" w:rsidP="00F71149">
      <w:pPr>
        <w:pStyle w:val="Reference"/>
        <w:rPr>
          <w:rFonts w:eastAsia="DengXian"/>
          <w:lang w:eastAsia="zh-CN"/>
        </w:rPr>
      </w:pPr>
      <w:r>
        <w:rPr>
          <w:rFonts w:eastAsia="DengXian"/>
          <w:lang w:eastAsia="zh-CN"/>
        </w:rPr>
        <w:t xml:space="preserve">26. </w:t>
      </w:r>
      <w:r w:rsidRPr="009468B6">
        <w:rPr>
          <w:rFonts w:eastAsia="DengXian"/>
          <w:lang w:eastAsia="zh-CN"/>
        </w:rPr>
        <w:tab/>
      </w:r>
      <w:r w:rsidRPr="009468B6">
        <w:t>Research Committee of the Japanese Society of Pediatric Cardiology, Cardiac Surgery Committee for Development of Guidelines for Medical Treatment of Acute Kawasaki Disease</w:t>
      </w:r>
      <w:r w:rsidRPr="009468B6">
        <w:rPr>
          <w:rFonts w:eastAsia="DengXian"/>
          <w:lang w:eastAsia="zh-CN"/>
        </w:rPr>
        <w:t>. Guidelines for medical treatment of acute Kawasaki disease: report of the Research Committee of the Japanese Society of Pediatric Cardiology and Cardiac Surgery (2012 revised version). Pediatr Int. 2014;56(2):135-158.</w:t>
      </w:r>
      <w:r w:rsidRPr="009468B6">
        <w:rPr>
          <w:rFonts w:eastAsia="DengXian"/>
          <w:lang w:eastAsia="zh-CN"/>
        </w:rPr>
        <w:br/>
        <w:t>doi:10.1111/ped.12317</w:t>
      </w:r>
      <w:r w:rsidRPr="009468B6">
        <w:rPr>
          <w:rFonts w:eastAsia="DengXian"/>
          <w:lang w:eastAsia="zh-CN"/>
        </w:rPr>
        <w:br/>
        <w:t>PubMed PMID:24730626</w:t>
      </w:r>
    </w:p>
    <w:p w14:paraId="6B73A4B8" w14:textId="77777777" w:rsidR="00F71149" w:rsidRPr="009468B6" w:rsidRDefault="00F71149" w:rsidP="00F71149">
      <w:pPr>
        <w:pStyle w:val="Reference"/>
        <w:rPr>
          <w:lang w:eastAsia="zh-CN"/>
        </w:rPr>
      </w:pPr>
    </w:p>
    <w:p w14:paraId="4E830E8B" w14:textId="77777777" w:rsidR="00F71149" w:rsidRPr="009468B6" w:rsidRDefault="00F71149" w:rsidP="00F71149">
      <w:pPr>
        <w:pStyle w:val="Reference"/>
        <w:rPr>
          <w:lang w:eastAsia="zh-CN"/>
        </w:rPr>
      </w:pPr>
      <w:r>
        <w:rPr>
          <w:lang w:eastAsia="zh-CN"/>
        </w:rPr>
        <w:t xml:space="preserve">27. </w:t>
      </w:r>
      <w:r w:rsidRPr="009468B6">
        <w:rPr>
          <w:lang w:eastAsia="zh-CN"/>
        </w:rPr>
        <w:tab/>
        <w:t>Wooditch AC, Aronoff SC. Effect of initial corticosteroid therapy on coronary artery aneurysm formation in Kawasaki disease: a meta-analysis of 862 children. Pediatrics. 2005;116(4):989-995.</w:t>
      </w:r>
      <w:r w:rsidRPr="009468B6">
        <w:rPr>
          <w:lang w:eastAsia="zh-CN"/>
        </w:rPr>
        <w:br/>
      </w:r>
      <w:r w:rsidRPr="009468B6">
        <w:rPr>
          <w:lang w:eastAsia="zh-CN"/>
        </w:rPr>
        <w:lastRenderedPageBreak/>
        <w:t>doi:10.1542/peds.2005-0504</w:t>
      </w:r>
      <w:r w:rsidRPr="009468B6">
        <w:rPr>
          <w:lang w:eastAsia="zh-CN"/>
        </w:rPr>
        <w:br/>
        <w:t>PubMed PMID:16199713</w:t>
      </w:r>
    </w:p>
    <w:p w14:paraId="14D1D353" w14:textId="77777777" w:rsidR="00F71149" w:rsidRPr="009468B6" w:rsidRDefault="00F71149" w:rsidP="00F71149">
      <w:pPr>
        <w:pStyle w:val="Para"/>
        <w:rPr>
          <w:rFonts w:eastAsia="DengXian"/>
          <w:lang w:eastAsia="zh-CN"/>
        </w:rPr>
      </w:pPr>
    </w:p>
    <w:p w14:paraId="113DA20C" w14:textId="77777777" w:rsidR="00F71149" w:rsidRPr="00F71149" w:rsidRDefault="00F71149">
      <w:pPr>
        <w:rPr>
          <w:rFonts w:eastAsia="DengXian"/>
          <w:lang w:eastAsia="zh-CN"/>
        </w:rPr>
      </w:pPr>
    </w:p>
    <w:sectPr w:rsidR="00F71149" w:rsidRPr="00F71149" w:rsidSect="0088299A">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
    <w:panose1 w:val="02010600030101010101"/>
    <w:charset w:val="86"/>
    <w:family w:val="auto"/>
    <w:pitch w:val="variable"/>
    <w:sig w:usb0="00000203" w:usb1="288F0000" w:usb2="00000016" w:usb3="00000000" w:csb0="00040001"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ì?¡ì??"/>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19F"/>
    <w:rsid w:val="003A5EAF"/>
    <w:rsid w:val="004244E6"/>
    <w:rsid w:val="00465776"/>
    <w:rsid w:val="00516C9E"/>
    <w:rsid w:val="0067415F"/>
    <w:rsid w:val="00676FA3"/>
    <w:rsid w:val="006B719F"/>
    <w:rsid w:val="0088299A"/>
    <w:rsid w:val="00A8756B"/>
    <w:rsid w:val="00C12559"/>
    <w:rsid w:val="00F71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879FD"/>
  <w15:chartTrackingRefBased/>
  <w15:docId w15:val="{BE6702D9-36B7-488C-8872-EC56EA048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71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B71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B71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B71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B71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B71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1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1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1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1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B71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B71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B71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B71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B71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1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1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19F"/>
    <w:rPr>
      <w:rFonts w:eastAsiaTheme="majorEastAsia" w:cstheme="majorBidi"/>
      <w:color w:val="272727" w:themeColor="text1" w:themeTint="D8"/>
    </w:rPr>
  </w:style>
  <w:style w:type="paragraph" w:styleId="Title">
    <w:name w:val="Title"/>
    <w:basedOn w:val="Normal"/>
    <w:next w:val="Normal"/>
    <w:link w:val="TitleChar"/>
    <w:uiPriority w:val="10"/>
    <w:qFormat/>
    <w:rsid w:val="006B71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1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1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1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19F"/>
    <w:pPr>
      <w:spacing w:before="160"/>
      <w:jc w:val="center"/>
    </w:pPr>
    <w:rPr>
      <w:i/>
      <w:iCs/>
      <w:color w:val="404040" w:themeColor="text1" w:themeTint="BF"/>
    </w:rPr>
  </w:style>
  <w:style w:type="character" w:customStyle="1" w:styleId="QuoteChar">
    <w:name w:val="Quote Char"/>
    <w:basedOn w:val="DefaultParagraphFont"/>
    <w:link w:val="Quote"/>
    <w:uiPriority w:val="29"/>
    <w:rsid w:val="006B719F"/>
    <w:rPr>
      <w:i/>
      <w:iCs/>
      <w:color w:val="404040" w:themeColor="text1" w:themeTint="BF"/>
    </w:rPr>
  </w:style>
  <w:style w:type="paragraph" w:styleId="ListParagraph">
    <w:name w:val="List Paragraph"/>
    <w:basedOn w:val="Normal"/>
    <w:uiPriority w:val="34"/>
    <w:qFormat/>
    <w:rsid w:val="006B719F"/>
    <w:pPr>
      <w:ind w:left="720"/>
      <w:contextualSpacing/>
    </w:pPr>
  </w:style>
  <w:style w:type="character" w:styleId="IntenseEmphasis">
    <w:name w:val="Intense Emphasis"/>
    <w:basedOn w:val="DefaultParagraphFont"/>
    <w:uiPriority w:val="21"/>
    <w:qFormat/>
    <w:rsid w:val="006B719F"/>
    <w:rPr>
      <w:i/>
      <w:iCs/>
      <w:color w:val="2F5496" w:themeColor="accent1" w:themeShade="BF"/>
    </w:rPr>
  </w:style>
  <w:style w:type="paragraph" w:styleId="IntenseQuote">
    <w:name w:val="Intense Quote"/>
    <w:basedOn w:val="Normal"/>
    <w:next w:val="Normal"/>
    <w:link w:val="IntenseQuoteChar"/>
    <w:uiPriority w:val="30"/>
    <w:qFormat/>
    <w:rsid w:val="006B71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B719F"/>
    <w:rPr>
      <w:i/>
      <w:iCs/>
      <w:color w:val="2F5496" w:themeColor="accent1" w:themeShade="BF"/>
    </w:rPr>
  </w:style>
  <w:style w:type="character" w:styleId="IntenseReference">
    <w:name w:val="Intense Reference"/>
    <w:basedOn w:val="DefaultParagraphFont"/>
    <w:uiPriority w:val="32"/>
    <w:qFormat/>
    <w:rsid w:val="006B719F"/>
    <w:rPr>
      <w:b/>
      <w:bCs/>
      <w:smallCaps/>
      <w:color w:val="2F5496" w:themeColor="accent1" w:themeShade="BF"/>
      <w:spacing w:val="5"/>
    </w:rPr>
  </w:style>
  <w:style w:type="table" w:styleId="TableGrid">
    <w:name w:val="Table Grid"/>
    <w:basedOn w:val="TableNormal"/>
    <w:uiPriority w:val="59"/>
    <w:rsid w:val="00465776"/>
    <w:pPr>
      <w:spacing w:after="0" w:line="240" w:lineRule="auto"/>
    </w:pPr>
    <w:rPr>
      <w:rFonts w:ascii="Times New Roman" w:hAnsi="Times New Roman" w:cs="Times New Roman"/>
      <w:kern w:val="0"/>
      <w:sz w:val="20"/>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
    <w:name w:val="Para"/>
    <w:basedOn w:val="Normal"/>
    <w:rsid w:val="00465776"/>
    <w:pPr>
      <w:spacing w:after="0" w:line="240" w:lineRule="auto"/>
      <w:ind w:firstLine="567"/>
    </w:pPr>
    <w:rPr>
      <w:rFonts w:ascii="Times New Roman" w:eastAsiaTheme="minorEastAsia" w:hAnsi="Times New Roman" w:cs="Times New Roman"/>
      <w:kern w:val="0"/>
      <w14:ligatures w14:val="none"/>
    </w:rPr>
  </w:style>
  <w:style w:type="paragraph" w:customStyle="1" w:styleId="Table">
    <w:name w:val="Table"/>
    <w:basedOn w:val="Normal"/>
    <w:rsid w:val="00465776"/>
    <w:pPr>
      <w:spacing w:after="0" w:line="240" w:lineRule="auto"/>
    </w:pPr>
    <w:rPr>
      <w:rFonts w:ascii="Times New Roman" w:eastAsiaTheme="minorEastAsia" w:hAnsi="Times New Roman" w:cs="Times New Roman"/>
      <w:kern w:val="0"/>
      <w14:ligatures w14:val="none"/>
    </w:rPr>
  </w:style>
  <w:style w:type="paragraph" w:customStyle="1" w:styleId="TableFootnote">
    <w:name w:val="Table Footnote"/>
    <w:basedOn w:val="Normal"/>
    <w:rsid w:val="00465776"/>
    <w:pPr>
      <w:spacing w:after="0" w:line="240" w:lineRule="auto"/>
      <w:ind w:left="284"/>
    </w:pPr>
    <w:rPr>
      <w:rFonts w:ascii="Times New Roman" w:eastAsiaTheme="minorEastAsia" w:hAnsi="Times New Roman" w:cs="Times New Roman"/>
      <w:kern w:val="0"/>
      <w14:ligatures w14:val="none"/>
    </w:rPr>
  </w:style>
  <w:style w:type="paragraph" w:customStyle="1" w:styleId="HeadA">
    <w:name w:val="HeadA"/>
    <w:basedOn w:val="Normal"/>
    <w:autoRedefine/>
    <w:rsid w:val="00F71149"/>
    <w:pPr>
      <w:spacing w:after="0" w:line="240" w:lineRule="auto"/>
    </w:pPr>
    <w:rPr>
      <w:rFonts w:ascii="Times New Roman" w:eastAsiaTheme="minorEastAsia" w:hAnsi="Times New Roman" w:cs="Times New Roman"/>
      <w:b/>
      <w:bCs/>
      <w:color w:val="FF0000"/>
      <w:kern w:val="0"/>
      <w:sz w:val="28"/>
      <w:szCs w:val="28"/>
      <w14:ligatures w14:val="none"/>
    </w:rPr>
  </w:style>
  <w:style w:type="paragraph" w:customStyle="1" w:styleId="Reference">
    <w:name w:val="Reference"/>
    <w:rsid w:val="00F71149"/>
    <w:pPr>
      <w:spacing w:after="0" w:line="240" w:lineRule="auto"/>
      <w:ind w:left="357" w:hanging="357"/>
    </w:pPr>
    <w:rPr>
      <w:rFonts w:ascii="Times New Roma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3403</Words>
  <Characters>19400</Characters>
  <Application>Microsoft Office Word</Application>
  <DocSecurity>0</DocSecurity>
  <Lines>161</Lines>
  <Paragraphs>45</Paragraphs>
  <ScaleCrop>false</ScaleCrop>
  <Company/>
  <LinksUpToDate>false</LinksUpToDate>
  <CharactersWithSpaces>22758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Wei</dc:creator>
  <cp:keywords/>
  <dc:description/>
  <cp:lastModifiedBy>Robin Wei</cp:lastModifiedBy>
  <cp:revision>8</cp:revision>
  <dcterms:created xsi:type="dcterms:W3CDTF">2026-10-22T01:28:00Z</dcterms:created>
  <dcterms:modified xsi:type="dcterms:W3CDTF">2026-10-22T02:29:00Z</dcterms:modified>
</cp:coreProperties>
</file>