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18" w:rsidRDefault="00E80618" w:rsidP="00E80618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Style w:val="SubtleEmphasis1"/>
          <w:lang w:eastAsia="zh-CN"/>
        </w:rPr>
      </w:pPr>
    </w:p>
    <w:p w:rsidR="00E80618" w:rsidRPr="009F7FC9" w:rsidRDefault="00E80618" w:rsidP="00E80618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zh-CN"/>
        </w:rPr>
      </w:pPr>
      <w:r w:rsidRPr="001C55C5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Supplementary Table 1. </w:t>
      </w:r>
      <w:r w:rsidRPr="009F7FC9">
        <w:rPr>
          <w:rFonts w:ascii="Times New Roman" w:hAnsi="Times New Roman" w:cs="Times New Roman"/>
          <w:snapToGrid w:val="0"/>
          <w:sz w:val="24"/>
          <w:szCs w:val="24"/>
        </w:rPr>
        <w:t>Adjusted significant association of SDOH with overall survival</w:t>
      </w:r>
      <w:r>
        <w:rPr>
          <w:rFonts w:ascii="Times New Roman" w:hAnsi="Times New Roman" w:cs="Times New Roman" w:hint="eastAsia"/>
          <w:snapToGrid w:val="0"/>
          <w:sz w:val="24"/>
          <w:szCs w:val="24"/>
          <w:lang w:eastAsia="zh-C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0"/>
        <w:gridCol w:w="1371"/>
        <w:gridCol w:w="1371"/>
        <w:gridCol w:w="1371"/>
        <w:gridCol w:w="1373"/>
      </w:tblGrid>
      <w:tr w:rsidR="00E80618" w:rsidRPr="00D64630" w:rsidTr="00BB6331">
        <w:trPr>
          <w:trHeight w:val="303"/>
        </w:trPr>
        <w:tc>
          <w:tcPr>
            <w:tcW w:w="1903" w:type="pct"/>
            <w:shd w:val="clear" w:color="auto" w:fill="auto"/>
            <w:noWrap/>
          </w:tcPr>
          <w:p w:rsidR="00E80618" w:rsidRPr="009F7FC9" w:rsidRDefault="00E80618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</w:tcPr>
          <w:p w:rsidR="00E80618" w:rsidRPr="009F7FC9" w:rsidRDefault="00E80618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HR</w:t>
            </w:r>
          </w:p>
        </w:tc>
        <w:tc>
          <w:tcPr>
            <w:tcW w:w="1548" w:type="pct"/>
            <w:gridSpan w:val="2"/>
            <w:shd w:val="clear" w:color="auto" w:fill="auto"/>
            <w:noWrap/>
          </w:tcPr>
          <w:p w:rsidR="00E80618" w:rsidRPr="009F7FC9" w:rsidRDefault="00E80618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95%</w:t>
            </w:r>
            <w:r>
              <w:rPr>
                <w:rFonts w:ascii="Times New Roman" w:hAnsi="Times New Roman" w:cs="Times New Roman" w:hint="eastAsia"/>
                <w:b/>
                <w:bCs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9F7FC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CI</w:t>
            </w:r>
          </w:p>
        </w:tc>
        <w:tc>
          <w:tcPr>
            <w:tcW w:w="775" w:type="pct"/>
            <w:shd w:val="clear" w:color="auto" w:fill="auto"/>
            <w:noWrap/>
          </w:tcPr>
          <w:p w:rsidR="00E80618" w:rsidRPr="009F7FC9" w:rsidRDefault="00E80618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napToGrid w:val="0"/>
                <w:sz w:val="24"/>
                <w:szCs w:val="24"/>
                <w:lang w:eastAsia="zh-CN"/>
              </w:rPr>
              <w:t>P</w:t>
            </w:r>
            <w:r w:rsidRPr="009F7FC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-value*</w:t>
            </w:r>
          </w:p>
        </w:tc>
      </w:tr>
      <w:tr w:rsidR="00E80618" w:rsidRPr="00D64630" w:rsidTr="00BB6331">
        <w:trPr>
          <w:trHeight w:val="303"/>
        </w:trPr>
        <w:tc>
          <w:tcPr>
            <w:tcW w:w="1903" w:type="pct"/>
            <w:shd w:val="clear" w:color="auto" w:fill="auto"/>
            <w:noWrap/>
          </w:tcPr>
          <w:p w:rsidR="00E80618" w:rsidRPr="009F7FC9" w:rsidRDefault="00E80618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Insurance-no insurance </w:t>
            </w:r>
          </w:p>
        </w:tc>
        <w:tc>
          <w:tcPr>
            <w:tcW w:w="774" w:type="pct"/>
            <w:shd w:val="clear" w:color="auto" w:fill="auto"/>
            <w:noWrap/>
          </w:tcPr>
          <w:p w:rsidR="00E80618" w:rsidRPr="009F7FC9" w:rsidRDefault="00E80618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4.98</w:t>
            </w:r>
          </w:p>
        </w:tc>
        <w:tc>
          <w:tcPr>
            <w:tcW w:w="774" w:type="pct"/>
            <w:shd w:val="clear" w:color="auto" w:fill="auto"/>
            <w:noWrap/>
          </w:tcPr>
          <w:p w:rsidR="00E80618" w:rsidRPr="009F7FC9" w:rsidRDefault="00E80618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2.39</w:t>
            </w:r>
          </w:p>
        </w:tc>
        <w:tc>
          <w:tcPr>
            <w:tcW w:w="774" w:type="pct"/>
            <w:shd w:val="clear" w:color="auto" w:fill="auto"/>
            <w:noWrap/>
          </w:tcPr>
          <w:p w:rsidR="00E80618" w:rsidRPr="009F7FC9" w:rsidRDefault="00E80618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10.40</w:t>
            </w:r>
          </w:p>
        </w:tc>
        <w:tc>
          <w:tcPr>
            <w:tcW w:w="775" w:type="pct"/>
            <w:shd w:val="clear" w:color="auto" w:fill="auto"/>
            <w:noWrap/>
          </w:tcPr>
          <w:p w:rsidR="00E80618" w:rsidRPr="009F7FC9" w:rsidRDefault="00E80618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0.001</w:t>
            </w:r>
          </w:p>
        </w:tc>
      </w:tr>
      <w:tr w:rsidR="00E80618" w:rsidRPr="00D64630" w:rsidTr="00BB6331">
        <w:trPr>
          <w:trHeight w:val="303"/>
        </w:trPr>
        <w:tc>
          <w:tcPr>
            <w:tcW w:w="1903" w:type="pct"/>
            <w:shd w:val="clear" w:color="auto" w:fill="auto"/>
            <w:noWrap/>
          </w:tcPr>
          <w:p w:rsidR="00E80618" w:rsidRPr="009F7FC9" w:rsidRDefault="00E80618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Employment-no</w:t>
            </w:r>
          </w:p>
        </w:tc>
        <w:tc>
          <w:tcPr>
            <w:tcW w:w="774" w:type="pct"/>
            <w:shd w:val="clear" w:color="auto" w:fill="auto"/>
            <w:noWrap/>
          </w:tcPr>
          <w:p w:rsidR="00E80618" w:rsidRPr="009F7FC9" w:rsidRDefault="00E80618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2.61</w:t>
            </w:r>
          </w:p>
        </w:tc>
        <w:tc>
          <w:tcPr>
            <w:tcW w:w="774" w:type="pct"/>
            <w:shd w:val="clear" w:color="auto" w:fill="auto"/>
            <w:noWrap/>
          </w:tcPr>
          <w:p w:rsidR="00E80618" w:rsidRPr="009F7FC9" w:rsidRDefault="00E80618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1.24</w:t>
            </w:r>
          </w:p>
        </w:tc>
        <w:tc>
          <w:tcPr>
            <w:tcW w:w="774" w:type="pct"/>
            <w:shd w:val="clear" w:color="auto" w:fill="auto"/>
            <w:noWrap/>
          </w:tcPr>
          <w:p w:rsidR="00E80618" w:rsidRPr="009F7FC9" w:rsidRDefault="00E80618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5.48</w:t>
            </w:r>
          </w:p>
        </w:tc>
        <w:tc>
          <w:tcPr>
            <w:tcW w:w="775" w:type="pct"/>
            <w:shd w:val="clear" w:color="auto" w:fill="auto"/>
            <w:noWrap/>
          </w:tcPr>
          <w:p w:rsidR="00E80618" w:rsidRPr="009F7FC9" w:rsidRDefault="00E80618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0.011</w:t>
            </w:r>
          </w:p>
        </w:tc>
      </w:tr>
    </w:tbl>
    <w:p w:rsidR="00E80618" w:rsidRPr="00C96833" w:rsidRDefault="00E80618" w:rsidP="00E80618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Style w:val="SubtleEmphasis1"/>
          <w:rFonts w:ascii="Times New Roman" w:hAnsi="Times New Roman" w:cs="Times New Roman"/>
          <w:i w:val="0"/>
          <w:iCs w:val="0"/>
          <w:snapToGrid w:val="0"/>
          <w:sz w:val="24"/>
          <w:szCs w:val="24"/>
        </w:rPr>
      </w:pPr>
      <w:r w:rsidRPr="00C96833">
        <w:rPr>
          <w:rStyle w:val="SubtleEmphasis1"/>
          <w:rFonts w:ascii="Times New Roman" w:hAnsi="Times New Roman" w:cs="Times New Roman"/>
          <w:snapToGrid w:val="0"/>
          <w:sz w:val="24"/>
          <w:szCs w:val="24"/>
        </w:rPr>
        <w:t xml:space="preserve">Based on follow-up data within 5 years, data are presented as hazard ratio (HR) with 95% confidence interval (CI) and </w:t>
      </w:r>
      <w:r>
        <w:rPr>
          <w:rStyle w:val="SubtleEmphasis1"/>
          <w:rFonts w:ascii="Times New Roman" w:hAnsi="Times New Roman" w:cs="Times New Roman" w:hint="eastAsia"/>
          <w:snapToGrid w:val="0"/>
          <w:sz w:val="24"/>
          <w:szCs w:val="24"/>
          <w:lang w:eastAsia="zh-CN"/>
        </w:rPr>
        <w:t>P</w:t>
      </w:r>
      <w:r w:rsidRPr="00C96833">
        <w:rPr>
          <w:rStyle w:val="SubtleEmphasis1"/>
          <w:rFonts w:ascii="Times New Roman" w:hAnsi="Times New Roman" w:cs="Times New Roman"/>
          <w:snapToGrid w:val="0"/>
          <w:sz w:val="24"/>
          <w:szCs w:val="24"/>
        </w:rPr>
        <w:t>-value. *Statistically significant.</w:t>
      </w:r>
    </w:p>
    <w:p w:rsidR="00FB5289" w:rsidRDefault="00FB5289"/>
    <w:sectPr w:rsidR="00FB52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80618"/>
    <w:rsid w:val="00E80618"/>
    <w:rsid w:val="00FB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leEmphasis1">
    <w:name w:val="Subtle Emphasis1"/>
    <w:basedOn w:val="DefaultParagraphFont"/>
    <w:uiPriority w:val="19"/>
    <w:qFormat/>
    <w:rsid w:val="00E80618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2025-04-14T21:58:00Z</dcterms:created>
  <dcterms:modified xsi:type="dcterms:W3CDTF">2025-04-14T21:58:00Z</dcterms:modified>
</cp:coreProperties>
</file>