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06" w:rsidRPr="00C5748A" w:rsidRDefault="00AC5406" w:rsidP="00AC5406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9.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 xml:space="preserve"> HF and sepsis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>related mortality trends stratified by region</w:t>
      </w:r>
    </w:p>
    <w:tbl>
      <w:tblPr>
        <w:tblW w:w="97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690"/>
        <w:gridCol w:w="1845"/>
        <w:gridCol w:w="1080"/>
        <w:gridCol w:w="1065"/>
        <w:gridCol w:w="2100"/>
      </w:tblGrid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Age-Adjusted Mortality Rates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Northeast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Midwest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South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West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27.45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31.91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21.27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31.13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20.45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26.43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30.71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21.53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26.72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31.22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21.6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27.81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32.79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22.13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27.52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31.17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28.29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33.03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25.44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31.22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26.73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31.31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25.55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29.41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23.84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25.72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28.93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24.14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23.77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23.81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27.93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24.13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27.67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25.59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26.95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25.34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26.25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23.55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23.56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25.51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25.69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28.17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24.37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31.68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27.73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32.29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29.9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35.02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32.18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32.53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36.56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31.73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32.94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36.42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32.13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Joinpoints (Years of Joinpoint)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(2006, 2009)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(2013)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(2005, 2012)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(2005, 2014, 2017)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Segment-1 (95% CI)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-0.5383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-0.8879*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0.4211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3.1606*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Segment-2 (95% CI)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-5.0343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5.6090*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-2.8122*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0.1122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Segment-3 (95% CI)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1.7169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5.3684*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9.45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Segment-4 (95% CI)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-0.7154</w:t>
            </w:r>
          </w:p>
        </w:tc>
      </w:tr>
      <w:tr w:rsidR="00AC5406" w:rsidRPr="00121DC9" w:rsidTr="00554588">
        <w:trPr>
          <w:trHeight w:val="400"/>
          <w:jc w:val="center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Average APC (95% CI)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-0.1125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1.0181*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0.9625*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AC5406" w:rsidRPr="00C5748A" w:rsidRDefault="00AC5406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1.858</w:t>
            </w:r>
          </w:p>
        </w:tc>
      </w:tr>
    </w:tbl>
    <w:p w:rsidR="00AC5406" w:rsidRPr="00C5748A" w:rsidRDefault="00AC5406" w:rsidP="00AC5406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F04" w:rsidRDefault="00731F04"/>
    <w:sectPr w:rsidR="00731F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C5406"/>
    <w:rsid w:val="00731F04"/>
    <w:rsid w:val="00AC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2024-12-14T22:53:00Z</dcterms:created>
  <dcterms:modified xsi:type="dcterms:W3CDTF">2024-12-14T22:53:00Z</dcterms:modified>
</cp:coreProperties>
</file>