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7269" w14:textId="77777777" w:rsidR="0043359B" w:rsidRDefault="0043359B" w:rsidP="0043359B">
      <w:pPr>
        <w:rPr>
          <w:b/>
        </w:rPr>
      </w:pPr>
    </w:p>
    <w:p w14:paraId="530D0767" w14:textId="77777777" w:rsidR="0043359B" w:rsidRPr="00137F63" w:rsidRDefault="0043359B" w:rsidP="0043359B">
      <w:pPr>
        <w:rPr>
          <w:b/>
        </w:rPr>
      </w:pPr>
    </w:p>
    <w:p w14:paraId="35E1CB6B" w14:textId="77777777" w:rsidR="0043359B" w:rsidRPr="00137F63" w:rsidRDefault="0043359B" w:rsidP="0043359B">
      <w:pPr>
        <w:rPr>
          <w:bCs/>
          <w:sz w:val="28"/>
          <w:szCs w:val="28"/>
        </w:rPr>
      </w:pPr>
      <w:r w:rsidRPr="00137F63">
        <w:rPr>
          <w:b/>
          <w:sz w:val="28"/>
          <w:szCs w:val="28"/>
        </w:rPr>
        <w:t xml:space="preserve">Suppl 3. </w:t>
      </w:r>
      <w:r w:rsidRPr="00137F63">
        <w:rPr>
          <w:bCs/>
          <w:sz w:val="28"/>
          <w:szCs w:val="28"/>
        </w:rPr>
        <w:t>Long-term follow-up reports merged into parent trials</w:t>
      </w:r>
    </w:p>
    <w:p w14:paraId="324588E9" w14:textId="77777777" w:rsidR="0043359B" w:rsidRPr="00137F63" w:rsidRDefault="0043359B" w:rsidP="0043359B">
      <w:r w:rsidRPr="00137F63">
        <w:t>Thirteen randomized trials were reported across 21 publications; where a trial had serial follow-up reports, the longest available follow-up reported in a full peer-reviewed publication was used and all reports were treated as a single trial (not double-counted). The follow-up reports merged into their parent trials were:</w:t>
      </w:r>
    </w:p>
    <w:p w14:paraId="30A21F99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BELLO — Latib 2012 (6 mo), Naganuma 2015 (24 mo), Latib 2015 (36 mo; used).</w:t>
      </w:r>
    </w:p>
    <w:p w14:paraId="56A2F8F6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BASKET-SMALL 2 — Jeger 2018 (12 mo), Jeger 2020 (36 mo; used).</w:t>
      </w:r>
    </w:p>
    <w:p w14:paraId="4535E10A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RESTORE SVD — Tang 2018 (12 mo), Tian 2020 (24 mo; used for DOCO; 3-year outcomes reported only as a conference abstract [TCT Connect 2020], not used).</w:t>
      </w:r>
    </w:p>
    <w:p w14:paraId="3F071726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PICCOLETO II — Cortese 2020 (12 mo), Cortese 2023 (36 mo; used).</w:t>
      </w:r>
    </w:p>
    <w:p w14:paraId="0E0FD078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REC-CAGEFREE I — Gao 2024 (24 mo), Tao 2026 (36 mo; used).</w:t>
      </w:r>
    </w:p>
    <w:p w14:paraId="0FBD3FE6" w14:textId="77777777" w:rsidR="0043359B" w:rsidRPr="00137F63" w:rsidRDefault="0043359B" w:rsidP="0043359B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REVELATION — Vos 2019 (9 mo), Niehe 2022 (24 mo), Niehe 2024 (60 mo; used).</w:t>
      </w:r>
    </w:p>
    <w:p w14:paraId="0135442E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52F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886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F9"/>
    <w:rsid w:val="004244E6"/>
    <w:rsid w:val="0043359B"/>
    <w:rsid w:val="0067415F"/>
    <w:rsid w:val="008459F9"/>
    <w:rsid w:val="0086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AFC3E-002B-4F40-B2FC-CB298418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9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9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9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9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9F9"/>
    <w:rPr>
      <w:b/>
      <w:bCs/>
      <w:smallCaps/>
      <w:color w:val="2F5496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43359B"/>
    <w:pPr>
      <w:numPr>
        <w:numId w:val="1"/>
      </w:numPr>
      <w:tabs>
        <w:tab w:val="clear" w:pos="360"/>
      </w:tabs>
      <w:spacing w:after="200" w:line="360" w:lineRule="auto"/>
      <w:ind w:left="0" w:firstLine="0"/>
      <w:contextualSpacing/>
    </w:pPr>
    <w:rPr>
      <w:rFonts w:ascii="Times New Roman" w:eastAsiaTheme="minorEastAsia" w:hAnsi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2026-07-26T02:22:00Z</dcterms:created>
  <dcterms:modified xsi:type="dcterms:W3CDTF">2026-07-26T02:22:00Z</dcterms:modified>
</cp:coreProperties>
</file>