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DB422" w14:textId="77777777" w:rsidR="00036D8C" w:rsidRDefault="00036D8C" w:rsidP="00036D8C">
      <w:pPr>
        <w:rPr>
          <w:b/>
        </w:rPr>
      </w:pPr>
    </w:p>
    <w:p w14:paraId="75845656" w14:textId="77777777" w:rsidR="00036D8C" w:rsidRPr="00137F63" w:rsidRDefault="00036D8C" w:rsidP="00036D8C">
      <w:pPr>
        <w:rPr>
          <w:b/>
        </w:rPr>
      </w:pPr>
    </w:p>
    <w:p w14:paraId="70F12736" w14:textId="77777777" w:rsidR="00036D8C" w:rsidRPr="00137F63" w:rsidRDefault="00036D8C" w:rsidP="00036D8C">
      <w:pPr>
        <w:rPr>
          <w:bCs/>
          <w:sz w:val="28"/>
          <w:szCs w:val="28"/>
        </w:rPr>
      </w:pPr>
      <w:r w:rsidRPr="00137F63">
        <w:rPr>
          <w:b/>
          <w:sz w:val="28"/>
          <w:szCs w:val="28"/>
        </w:rPr>
        <w:t xml:space="preserve">Suppl 3. </w:t>
      </w:r>
      <w:r w:rsidRPr="00137F63">
        <w:rPr>
          <w:bCs/>
          <w:sz w:val="28"/>
          <w:szCs w:val="28"/>
        </w:rPr>
        <w:t>Long-term follow-up reports merged into parent trials</w:t>
      </w:r>
    </w:p>
    <w:p w14:paraId="6E7A3A20" w14:textId="77777777" w:rsidR="00036D8C" w:rsidRPr="00137F63" w:rsidRDefault="00036D8C" w:rsidP="00036D8C">
      <w:r w:rsidRPr="00137F63">
        <w:t>Thirteen randomized trials were reported across 21 publications; where a trial had serial follow-up reports, the longest available follow-up reported in a full peer-reviewed publication was used and all reports were treated as a single trial (not double-counted). The follow-up reports merged into their parent trials were:</w:t>
      </w:r>
    </w:p>
    <w:p w14:paraId="6214D309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BELLO — Latib 2012 (6 mo), Naganuma 2015 (24 mo), Latib 2015 (36 mo; used).</w:t>
      </w:r>
    </w:p>
    <w:p w14:paraId="53F0F262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BASKET-SMALL 2 — Jeger 2018 (12 mo), Jeger 2020 (36 mo; used).</w:t>
      </w:r>
    </w:p>
    <w:p w14:paraId="5D8F8BF1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RESTORE SVD — Tang 2018 (12 mo), Tian 2020 (24 mo; used for DOCO; 3-year outcomes reported only as a conference abstract [TCT Connect 2020], not used).</w:t>
      </w:r>
    </w:p>
    <w:p w14:paraId="66F87D6E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PICCOLETO II — Cortese 2020 (12 mo), Cortese 2023 (36 mo; used).</w:t>
      </w:r>
    </w:p>
    <w:p w14:paraId="65F0DFD7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REC-CAGEFREE I — Gao 2024 (24 mo), Tao 2026 (36 mo; used).</w:t>
      </w:r>
    </w:p>
    <w:p w14:paraId="64C8371C" w14:textId="77777777" w:rsidR="00036D8C" w:rsidRPr="00137F63" w:rsidRDefault="00036D8C" w:rsidP="00036D8C">
      <w:pPr>
        <w:pStyle w:val="ListBullet"/>
        <w:tabs>
          <w:tab w:val="num" w:pos="360"/>
        </w:tabs>
        <w:ind w:left="360" w:hanging="360"/>
        <w:rPr>
          <w:sz w:val="24"/>
          <w:szCs w:val="24"/>
        </w:rPr>
      </w:pPr>
      <w:r w:rsidRPr="00137F63">
        <w:rPr>
          <w:sz w:val="24"/>
          <w:szCs w:val="24"/>
        </w:rPr>
        <w:t>REVELATION — Vos 2019 (9 mo), Niehe 2022 (24 mo), Niehe 2024 (60 mo; used).</w:t>
      </w:r>
    </w:p>
    <w:p w14:paraId="6FF71E9C" w14:textId="77777777" w:rsidR="00036D8C" w:rsidRPr="00137F63" w:rsidRDefault="00036D8C" w:rsidP="00036D8C">
      <w:pPr>
        <w:spacing w:before="200" w:after="80" w:line="276" w:lineRule="auto"/>
        <w:rPr>
          <w:rFonts w:cs="Times New Roman"/>
          <w:b/>
        </w:rPr>
      </w:pPr>
    </w:p>
    <w:p w14:paraId="765E4705" w14:textId="77777777" w:rsidR="00036D8C" w:rsidRDefault="00036D8C" w:rsidP="00036D8C">
      <w:pPr>
        <w:rPr>
          <w:b/>
        </w:rPr>
      </w:pPr>
    </w:p>
    <w:p w14:paraId="19D790DE" w14:textId="77777777" w:rsidR="00036D8C" w:rsidRPr="00137F63" w:rsidRDefault="00036D8C" w:rsidP="00036D8C">
      <w:pPr>
        <w:rPr>
          <w:b/>
        </w:rPr>
      </w:pPr>
    </w:p>
    <w:p w14:paraId="7DDD4679" w14:textId="77777777" w:rsidR="00036D8C" w:rsidRPr="00137F63" w:rsidRDefault="00036D8C" w:rsidP="00036D8C">
      <w:pPr>
        <w:spacing w:before="200" w:after="80" w:line="276" w:lineRule="auto"/>
        <w:rPr>
          <w:bCs/>
          <w:sz w:val="28"/>
          <w:szCs w:val="28"/>
        </w:rPr>
      </w:pPr>
      <w:r w:rsidRPr="00137F63">
        <w:rPr>
          <w:b/>
          <w:sz w:val="28"/>
          <w:szCs w:val="28"/>
        </w:rPr>
        <w:t xml:space="preserve">Suppl 6. </w:t>
      </w:r>
      <w:r w:rsidRPr="00137F63">
        <w:rPr>
          <w:bCs/>
          <w:sz w:val="28"/>
          <w:szCs w:val="28"/>
        </w:rPr>
        <w:t>Robustness and subgroup analyses of the primary outcome</w:t>
      </w:r>
    </w:p>
    <w:p w14:paraId="2CE58825" w14:textId="77777777" w:rsidR="00036D8C" w:rsidRPr="00137F63" w:rsidRDefault="00036D8C" w:rsidP="00036D8C">
      <w:pPr>
        <w:spacing w:before="200" w:after="80" w:line="276" w:lineRule="auto"/>
        <w:rPr>
          <w:bCs/>
        </w:rPr>
      </w:pPr>
      <w:r w:rsidRPr="00137F63">
        <w:rPr>
          <w:b/>
        </w:rPr>
        <w:t xml:space="preserve">Suppl 6a. </w:t>
      </w:r>
      <w:r w:rsidRPr="00137F63">
        <w:rPr>
          <w:bCs/>
        </w:rPr>
        <w:t>Subgroup-aware leave-one-out for the regional DOCO comparison</w:t>
      </w:r>
    </w:p>
    <w:p w14:paraId="7CA4B467" w14:textId="77777777" w:rsidR="00036D8C" w:rsidRPr="00137F63" w:rsidRDefault="00036D8C" w:rsidP="00036D8C">
      <w:pPr>
        <w:spacing w:after="80" w:line="240" w:lineRule="auto"/>
        <w:jc w:val="center"/>
      </w:pPr>
      <w:r w:rsidRPr="00137F63">
        <w:rPr>
          <w:noProof/>
        </w:rPr>
        <w:lastRenderedPageBreak/>
        <w:drawing>
          <wp:inline distT="0" distB="0" distL="0" distR="0" wp14:anchorId="56724A6A" wp14:editId="799DA7EF">
            <wp:extent cx="7844838" cy="3460278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44838" cy="346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BFC3" w14:textId="77777777" w:rsidR="00036D8C" w:rsidRPr="00137F63" w:rsidRDefault="00036D8C" w:rsidP="00036D8C">
      <w:r w:rsidRPr="00137F63">
        <w:rPr>
          <w:rFonts w:cs="Times New Roman"/>
          <w:b/>
        </w:rPr>
        <w:t xml:space="preserve">Caption. </w:t>
      </w:r>
      <w:r w:rsidRPr="00137F63">
        <w:rPr>
          <w:rFonts w:cs="Times New Roman"/>
        </w:rPr>
        <w:t>Each row shows the recomputed Asian and European pooled IRRs and the subgroup-difference p with the indicated trial omitted. Baseline subgroup p = 0.04. Omission of REC-CAGEFREE I shifted the Asian estimate from 1.48 (1.04-2.11) toward the null with subgroup p rising to 0.46, demonstrating that the regional signal is not robust to the single largest trial.</w:t>
      </w:r>
    </w:p>
    <w:p w14:paraId="6C2E8EDA" w14:textId="77777777" w:rsidR="00036D8C" w:rsidRPr="00137F63" w:rsidRDefault="00036D8C" w:rsidP="00036D8C">
      <w:pPr>
        <w:spacing w:before="200" w:after="80" w:line="276" w:lineRule="auto"/>
        <w:rPr>
          <w:rFonts w:cs="Times New Roman"/>
          <w:b/>
        </w:rPr>
      </w:pPr>
    </w:p>
    <w:p w14:paraId="512B3A6E" w14:textId="77777777" w:rsidR="00036D8C" w:rsidRPr="00137F63" w:rsidRDefault="00036D8C" w:rsidP="00036D8C">
      <w:pPr>
        <w:spacing w:before="200" w:after="80" w:line="276" w:lineRule="auto"/>
        <w:rPr>
          <w:bCs/>
        </w:rPr>
      </w:pPr>
      <w:r w:rsidRPr="00137F63">
        <w:rPr>
          <w:b/>
        </w:rPr>
        <w:t xml:space="preserve">Suppl 6b. </w:t>
      </w:r>
      <w:r w:rsidRPr="00137F63">
        <w:rPr>
          <w:bCs/>
        </w:rPr>
        <w:t>Leave-one-out analysis for the primary outcome (DOCO)</w:t>
      </w:r>
    </w:p>
    <w:p w14:paraId="026D63E8" w14:textId="77777777" w:rsidR="00036D8C" w:rsidRPr="00137F63" w:rsidRDefault="00036D8C" w:rsidP="00036D8C">
      <w:pPr>
        <w:spacing w:after="80" w:line="240" w:lineRule="auto"/>
        <w:jc w:val="center"/>
      </w:pPr>
      <w:r w:rsidRPr="00137F63">
        <w:rPr>
          <w:noProof/>
        </w:rPr>
        <w:lastRenderedPageBreak/>
        <w:drawing>
          <wp:inline distT="0" distB="0" distL="0" distR="0" wp14:anchorId="30407D74" wp14:editId="351987E9">
            <wp:extent cx="6767541" cy="306125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/>
                    <a:srcRect l="16416" t="16611" r="15635" b="13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699" cy="3079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9E7BDF" w14:textId="77777777" w:rsidR="00036D8C" w:rsidRPr="00137F63" w:rsidRDefault="00036D8C" w:rsidP="00036D8C">
      <w:r w:rsidRPr="00137F63">
        <w:rPr>
          <w:rFonts w:cs="Times New Roman"/>
          <w:b/>
        </w:rPr>
        <w:t xml:space="preserve">Caption. </w:t>
      </w:r>
      <w:r w:rsidRPr="00137F63">
        <w:rPr>
          <w:rFonts w:cs="Times New Roman"/>
        </w:rPr>
        <w:t>Pooled IRR for DOCO after omitting each trial in turn (random effects; Hartung-Knapp). Omitting REC-CAGEFREE I yields IRR 0.88 (95% CI 0.61-1.27), with I² falling from 49.1% to 21.4%; all other single-trial omissions leave the pooled estimate non-significant.</w:t>
      </w:r>
    </w:p>
    <w:p w14:paraId="1002E386" w14:textId="77777777" w:rsidR="00036D8C" w:rsidRPr="00137F63" w:rsidRDefault="00036D8C" w:rsidP="00036D8C">
      <w:pPr>
        <w:spacing w:before="200" w:after="80" w:line="276" w:lineRule="auto"/>
        <w:rPr>
          <w:rFonts w:cs="Times New Roman"/>
          <w:b/>
        </w:rPr>
      </w:pPr>
    </w:p>
    <w:p w14:paraId="59DF3710" w14:textId="77777777" w:rsidR="00036D8C" w:rsidRPr="00137F63" w:rsidRDefault="00036D8C" w:rsidP="00036D8C">
      <w:pPr>
        <w:rPr>
          <w:bCs/>
        </w:rPr>
      </w:pPr>
      <w:r w:rsidRPr="00137F63">
        <w:rPr>
          <w:b/>
        </w:rPr>
        <w:t xml:space="preserve">Suppl 6c. </w:t>
      </w:r>
      <w:r w:rsidRPr="00137F63">
        <w:rPr>
          <w:bCs/>
        </w:rPr>
        <w:t>Device-oriented composite outcome (DOCO) excluding REC-CAGEFREE I</w:t>
      </w:r>
    </w:p>
    <w:p w14:paraId="6350412B" w14:textId="77777777" w:rsidR="00036D8C" w:rsidRPr="00137F63" w:rsidRDefault="00036D8C" w:rsidP="00036D8C">
      <w:pPr>
        <w:jc w:val="center"/>
      </w:pPr>
      <w:r w:rsidRPr="00137F63">
        <w:rPr>
          <w:noProof/>
        </w:rPr>
        <w:lastRenderedPageBreak/>
        <w:drawing>
          <wp:inline distT="0" distB="0" distL="0" distR="0" wp14:anchorId="2F7FB509" wp14:editId="5150E75F">
            <wp:extent cx="7495656" cy="34200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/>
                    <a:srcRect l="10517" t="9294" r="10663" b="9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958" cy="3453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0FF17" w14:textId="77777777" w:rsidR="00036D8C" w:rsidRPr="00137F63" w:rsidRDefault="00036D8C" w:rsidP="00036D8C">
      <w:r w:rsidRPr="00137F63">
        <w:rPr>
          <w:i/>
          <w:sz w:val="19"/>
        </w:rPr>
        <w:t>Random-effects forest plot of DOCO after removing REC-CAGEFREE I (k=11). REC-CAGEFREE I contributed 18.4% of the random-effects weight in the primary analysis (≈49% of randomized patients); with it removed, the pooled IRR was 0.88 (95% CI 0.61–1.27) and I² fell from 49.1% to 21.4%, and the Europe–Asia subgroup difference became non-significant (p=0.46).</w:t>
      </w:r>
    </w:p>
    <w:p w14:paraId="0AA6E17C" w14:textId="77777777" w:rsidR="00036D8C" w:rsidRPr="00137F63" w:rsidRDefault="00036D8C" w:rsidP="00036D8C">
      <w:pPr>
        <w:spacing w:before="200" w:after="80" w:line="276" w:lineRule="auto"/>
        <w:rPr>
          <w:b/>
        </w:rPr>
      </w:pPr>
    </w:p>
    <w:p w14:paraId="3F251A81" w14:textId="77777777" w:rsidR="00036D8C" w:rsidRPr="00137F63" w:rsidRDefault="00036D8C" w:rsidP="00036D8C">
      <w:pPr>
        <w:spacing w:before="200" w:after="80" w:line="276" w:lineRule="auto"/>
        <w:rPr>
          <w:bCs/>
        </w:rPr>
      </w:pPr>
      <w:r w:rsidRPr="00137F63">
        <w:rPr>
          <w:b/>
        </w:rPr>
        <w:t xml:space="preserve">Suppl 6d. </w:t>
      </w:r>
      <w:r w:rsidRPr="00137F63">
        <w:rPr>
          <w:bCs/>
        </w:rPr>
        <w:t>DOCO stratified by vessel-size inclusion criteria</w:t>
      </w:r>
    </w:p>
    <w:p w14:paraId="0D769325" w14:textId="77777777" w:rsidR="00036D8C" w:rsidRPr="00137F63" w:rsidRDefault="00036D8C" w:rsidP="00036D8C">
      <w:pPr>
        <w:spacing w:after="80" w:line="240" w:lineRule="auto"/>
        <w:jc w:val="center"/>
      </w:pPr>
      <w:r w:rsidRPr="00137F63">
        <w:rPr>
          <w:noProof/>
        </w:rPr>
        <w:lastRenderedPageBreak/>
        <w:drawing>
          <wp:inline distT="0" distB="0" distL="0" distR="0" wp14:anchorId="27C8FDD5" wp14:editId="64BE9172">
            <wp:extent cx="7696367" cy="380072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/>
                    <a:srcRect l="3244" r="12657" b="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283" cy="3818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F7A279" w14:textId="77777777" w:rsidR="00036D8C" w:rsidRDefault="00036D8C" w:rsidP="00036D8C">
      <w:pPr>
        <w:spacing w:after="80"/>
        <w:rPr>
          <w:rFonts w:cs="Times New Roman"/>
        </w:rPr>
      </w:pPr>
      <w:r w:rsidRPr="00137F63">
        <w:rPr>
          <w:rFonts w:cs="Times New Roman"/>
          <w:b/>
        </w:rPr>
        <w:t xml:space="preserve">Caption. </w:t>
      </w:r>
      <w:r w:rsidRPr="00137F63">
        <w:rPr>
          <w:rFonts w:cs="Times New Roman"/>
        </w:rPr>
        <w:t>Small-vessel subgroup (6 trials, upper bound ≤2.75 mm): IRR 0.94 (95% CI 0.48-1.85; I² 56.4%). Broader-vessel subgroup (6 trials): IRR 1.45 (95% CI 0.99-2.11; I² 0%). Subgroup-difference p = 0.15. Vessel-size inclusion is collinear with continent: four of six European trials enrolled small vessels versus two of seven Asian trials.</w:t>
      </w:r>
    </w:p>
    <w:p w14:paraId="6F20BFFD" w14:textId="77777777" w:rsidR="00036D8C" w:rsidRDefault="00036D8C" w:rsidP="00036D8C">
      <w:pPr>
        <w:spacing w:after="80"/>
      </w:pPr>
    </w:p>
    <w:p w14:paraId="1D3D1E56" w14:textId="77777777" w:rsidR="0067415F" w:rsidRDefault="0067415F"/>
    <w:sectPr w:rsidR="0067415F" w:rsidSect="00036D8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CEC27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886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79A"/>
    <w:rsid w:val="00036D8C"/>
    <w:rsid w:val="004244E6"/>
    <w:rsid w:val="0067415F"/>
    <w:rsid w:val="00861130"/>
    <w:rsid w:val="00C0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8F3532-425D-4CC7-B6EA-DA91C127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3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3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37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3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7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3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3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3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3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37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37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37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379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79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37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37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37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37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3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37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3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37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3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37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3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379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37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379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379A"/>
    <w:rPr>
      <w:b/>
      <w:bCs/>
      <w:smallCaps/>
      <w:color w:val="2F5496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036D8C"/>
    <w:pPr>
      <w:numPr>
        <w:numId w:val="1"/>
      </w:numPr>
      <w:tabs>
        <w:tab w:val="clear" w:pos="360"/>
      </w:tabs>
      <w:spacing w:after="200" w:line="360" w:lineRule="auto"/>
      <w:ind w:left="0" w:firstLine="0"/>
      <w:contextualSpacing/>
    </w:pPr>
    <w:rPr>
      <w:rFonts w:ascii="Times New Roman" w:eastAsiaTheme="minorEastAsia" w:hAnsi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383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2026-07-26T02:22:00Z</dcterms:created>
  <dcterms:modified xsi:type="dcterms:W3CDTF">2026-07-26T02:22:00Z</dcterms:modified>
</cp:coreProperties>
</file>